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rFonts w:ascii="宋体" w:hAnsi="宋体" w:cs="宋体"/>
          <w:color w:val="FF0000"/>
          <w:sz w:val="72"/>
          <w:szCs w:val="72"/>
        </w:rPr>
      </w:pPr>
      <w:r>
        <w:rPr>
          <w:rFonts w:hint="eastAsia" w:ascii="宋体" w:hAnsi="宋体" w:cs="宋体"/>
          <w:color w:val="FF0000"/>
          <w:sz w:val="72"/>
          <w:szCs w:val="72"/>
        </w:rPr>
        <w:t>青  岛  市  司  法  局</w:t>
      </w:r>
    </w:p>
    <w:p>
      <w:pPr>
        <w:jc w:val="center"/>
        <w:rPr>
          <w:color w:val="000000"/>
          <w:sz w:val="44"/>
          <w:szCs w:val="44"/>
        </w:rPr>
      </w:pPr>
      <w:r>
        <w:rPr>
          <w:rFonts w:cs="宋体"/>
          <w:szCs w:val="21"/>
        </w:rPr>
        <w:drawing>
          <wp:inline distT="0" distB="0" distL="0" distR="0">
            <wp:extent cx="5615940" cy="67945"/>
            <wp:effectExtent l="0" t="0" r="3810" b="8255"/>
            <wp:docPr id="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a:xfrm>
                      <a:off x="0" y="0"/>
                      <a:ext cx="5615940" cy="67945"/>
                    </a:xfrm>
                    <a:prstGeom prst="rect">
                      <a:avLst/>
                    </a:prstGeom>
                    <a:noFill/>
                    <a:ln>
                      <a:noFill/>
                    </a:ln>
                  </pic:spPr>
                </pic:pic>
              </a:graphicData>
            </a:graphic>
          </wp:inline>
        </w:drawing>
      </w:r>
    </w:p>
    <w:p>
      <w:pPr>
        <w:jc w:val="center"/>
        <w:rPr>
          <w:b/>
          <w:bCs/>
          <w:color w:val="FF0000"/>
          <w:spacing w:val="-20"/>
          <w:szCs w:val="21"/>
        </w:rPr>
      </w:pPr>
    </w:p>
    <w:p>
      <w:pPr>
        <w:spacing w:line="560" w:lineRule="exact"/>
        <w:jc w:val="center"/>
        <w:rPr>
          <w:rFonts w:ascii="文星标宋" w:hAnsi="文星标宋" w:eastAsia="文星标宋" w:cs="方正小标宋_GBK"/>
          <w:bCs/>
          <w:sz w:val="44"/>
          <w:szCs w:val="44"/>
        </w:rPr>
      </w:pPr>
      <w:r>
        <w:rPr>
          <w:rFonts w:hint="eastAsia" w:ascii="文星标宋" w:hAnsi="文星标宋" w:eastAsia="文星标宋" w:cs="方正小标宋_GBK"/>
          <w:bCs/>
          <w:sz w:val="44"/>
          <w:szCs w:val="44"/>
        </w:rPr>
        <w:t>关于公布</w:t>
      </w:r>
      <w:r>
        <w:rPr>
          <w:rFonts w:ascii="文星标宋" w:hAnsi="文星标宋" w:eastAsia="文星标宋" w:cs="方正小标宋_GBK"/>
          <w:bCs/>
          <w:sz w:val="44"/>
          <w:szCs w:val="44"/>
        </w:rPr>
        <w:t>202</w:t>
      </w:r>
      <w:r>
        <w:rPr>
          <w:rFonts w:hint="eastAsia" w:ascii="文星标宋" w:hAnsi="文星标宋" w:eastAsia="文星标宋" w:cs="方正小标宋_GBK"/>
          <w:bCs/>
          <w:sz w:val="44"/>
          <w:szCs w:val="44"/>
          <w:lang w:val="en-US" w:eastAsia="zh-CN"/>
        </w:rPr>
        <w:t>4</w:t>
      </w:r>
      <w:r>
        <w:rPr>
          <w:rFonts w:hint="eastAsia" w:ascii="文星标宋" w:hAnsi="文星标宋" w:eastAsia="文星标宋" w:cs="方正小标宋_GBK"/>
          <w:bCs/>
          <w:sz w:val="44"/>
          <w:szCs w:val="44"/>
        </w:rPr>
        <w:t>年第</w:t>
      </w:r>
      <w:r>
        <w:rPr>
          <w:rFonts w:hint="eastAsia" w:ascii="文星标宋" w:hAnsi="文星标宋" w:eastAsia="文星标宋" w:cs="方正小标宋_GBK"/>
          <w:bCs/>
          <w:sz w:val="44"/>
          <w:szCs w:val="44"/>
          <w:lang w:eastAsia="zh-CN"/>
        </w:rPr>
        <w:t>二</w:t>
      </w:r>
      <w:r>
        <w:rPr>
          <w:rFonts w:hint="eastAsia" w:ascii="文星标宋" w:hAnsi="文星标宋" w:eastAsia="文星标宋" w:cs="方正小标宋_GBK"/>
          <w:bCs/>
          <w:sz w:val="44"/>
          <w:szCs w:val="44"/>
        </w:rPr>
        <w:t>季度</w:t>
      </w:r>
    </w:p>
    <w:p>
      <w:pPr>
        <w:spacing w:line="560" w:lineRule="exact"/>
        <w:jc w:val="center"/>
        <w:rPr>
          <w:rFonts w:ascii="文星标宋" w:hAnsi="文星标宋" w:eastAsia="文星标宋" w:cs="方正小标宋_GBK"/>
          <w:bCs/>
          <w:sz w:val="44"/>
          <w:szCs w:val="44"/>
        </w:rPr>
      </w:pPr>
      <w:r>
        <w:rPr>
          <w:rFonts w:hint="eastAsia" w:ascii="文星标宋" w:hAnsi="文星标宋" w:eastAsia="文星标宋" w:cs="方正小标宋_GBK"/>
          <w:bCs/>
          <w:sz w:val="44"/>
          <w:szCs w:val="44"/>
        </w:rPr>
        <w:t>备案的青岛市政府部门及区（市</w:t>
      </w:r>
      <w:r>
        <w:rPr>
          <w:rFonts w:ascii="文星标宋" w:hAnsi="文星标宋" w:eastAsia="文星标宋" w:cs="方正小标宋_GBK"/>
          <w:bCs/>
          <w:sz w:val="44"/>
          <w:szCs w:val="44"/>
        </w:rPr>
        <w:t>）</w:t>
      </w:r>
      <w:r>
        <w:rPr>
          <w:rFonts w:hint="eastAsia" w:ascii="文星标宋" w:hAnsi="文星标宋" w:eastAsia="文星标宋" w:cs="方正小标宋_GBK"/>
          <w:bCs/>
          <w:sz w:val="44"/>
          <w:szCs w:val="44"/>
        </w:rPr>
        <w:t>政府</w:t>
      </w:r>
    </w:p>
    <w:p>
      <w:pPr>
        <w:spacing w:line="560" w:lineRule="exact"/>
        <w:jc w:val="center"/>
        <w:rPr>
          <w:rFonts w:ascii="文星标宋" w:hAnsi="文星标宋" w:eastAsia="文星标宋" w:cs="方正小标宋_GBK"/>
          <w:bCs/>
          <w:sz w:val="44"/>
          <w:szCs w:val="44"/>
        </w:rPr>
      </w:pPr>
      <w:r>
        <w:rPr>
          <w:rFonts w:hint="eastAsia" w:ascii="文星标宋" w:hAnsi="文星标宋" w:eastAsia="文星标宋" w:cs="方正小标宋_GBK"/>
          <w:bCs/>
          <w:sz w:val="44"/>
          <w:szCs w:val="44"/>
        </w:rPr>
        <w:t>规范性文件目录的通知</w:t>
      </w:r>
    </w:p>
    <w:p>
      <w:pPr>
        <w:spacing w:line="560" w:lineRule="exact"/>
        <w:jc w:val="center"/>
        <w:rPr>
          <w:rFonts w:ascii="方正小标宋_GBK" w:hAnsi="方正小标宋_GBK" w:eastAsia="方正小标宋_GBK" w:cs="方正小标宋_GBK"/>
          <w:bCs/>
          <w:sz w:val="44"/>
          <w:szCs w:val="44"/>
        </w:rPr>
      </w:pPr>
    </w:p>
    <w:p>
      <w:pPr>
        <w:tabs>
          <w:tab w:val="left" w:pos="5220"/>
        </w:tabs>
        <w:spacing w:line="560" w:lineRule="exact"/>
        <w:rPr>
          <w:rFonts w:ascii="仿宋_GB2312" w:eastAsia="仿宋_GB2312"/>
          <w:b/>
          <w:sz w:val="32"/>
          <w:szCs w:val="32"/>
        </w:rPr>
      </w:pPr>
      <w:r>
        <w:rPr>
          <w:rFonts w:hint="eastAsia" w:ascii="仿宋_GB2312" w:eastAsia="仿宋_GB2312"/>
          <w:sz w:val="32"/>
          <w:szCs w:val="32"/>
        </w:rPr>
        <w:t>各区、市人民政府，西海岸新区管委，市政府各部门，市直各有关单位：</w:t>
      </w:r>
    </w:p>
    <w:p>
      <w:pPr>
        <w:tabs>
          <w:tab w:val="left" w:pos="5220"/>
        </w:tabs>
        <w:spacing w:line="560" w:lineRule="exact"/>
        <w:rPr>
          <w:rFonts w:ascii="仿宋_GB2312" w:eastAsia="仿宋_GB2312"/>
          <w:sz w:val="32"/>
          <w:szCs w:val="32"/>
          <w:highlight w:val="none"/>
        </w:rPr>
      </w:pPr>
      <w:r>
        <w:rPr>
          <w:rFonts w:hint="eastAsia" w:ascii="仿宋_GB2312" w:eastAsia="仿宋_GB2312"/>
          <w:sz w:val="32"/>
          <w:szCs w:val="32"/>
        </w:rPr>
        <w:t xml:space="preserve">    为了加强规范性文件的监督管理，进一步推动市政府各部门和各区（市</w:t>
      </w:r>
      <w:r>
        <w:rPr>
          <w:rFonts w:ascii="仿宋_GB2312" w:eastAsia="仿宋_GB2312"/>
          <w:sz w:val="32"/>
          <w:szCs w:val="32"/>
        </w:rPr>
        <w:t>）</w:t>
      </w:r>
      <w:r>
        <w:rPr>
          <w:rFonts w:hint="eastAsia" w:ascii="仿宋_GB2312" w:eastAsia="仿宋_GB2312"/>
          <w:sz w:val="32"/>
          <w:szCs w:val="32"/>
        </w:rPr>
        <w:t>政府规范性文件的规范化管理，根据《山东省行政程序规定》</w:t>
      </w:r>
      <w:r>
        <w:rPr>
          <w:rFonts w:hint="eastAsia" w:ascii="仿宋_GB2312" w:eastAsia="仿宋_GB2312"/>
          <w:sz w:val="32"/>
          <w:szCs w:val="32"/>
          <w:lang w:eastAsia="zh-CN"/>
        </w:rPr>
        <w:t>《山东省行政规范性文件制定和监督管理办法》</w:t>
      </w:r>
      <w:r>
        <w:rPr>
          <w:rFonts w:hint="eastAsia" w:ascii="仿宋_GB2312" w:eastAsia="仿宋_GB2312"/>
          <w:sz w:val="32"/>
          <w:szCs w:val="32"/>
        </w:rPr>
        <w:t>《</w:t>
      </w:r>
      <w:bookmarkStart w:id="0" w:name="_Toc500237375"/>
      <w:r>
        <w:rPr>
          <w:rFonts w:hint="eastAsia" w:ascii="仿宋_GB2312" w:eastAsia="仿宋_GB2312"/>
          <w:sz w:val="32"/>
          <w:szCs w:val="32"/>
        </w:rPr>
        <w:t>青岛市行政</w:t>
      </w:r>
      <w:r>
        <w:rPr>
          <w:rFonts w:hint="eastAsia" w:ascii="仿宋_GB2312" w:eastAsia="仿宋_GB2312"/>
          <w:color w:val="auto"/>
          <w:sz w:val="32"/>
          <w:szCs w:val="32"/>
        </w:rPr>
        <w:t>规范性文件管理规定</w:t>
      </w:r>
      <w:bookmarkEnd w:id="0"/>
      <w:r>
        <w:rPr>
          <w:rFonts w:hint="eastAsia" w:ascii="仿宋_GB2312" w:eastAsia="仿宋_GB2312"/>
          <w:color w:val="auto"/>
          <w:sz w:val="32"/>
          <w:szCs w:val="32"/>
        </w:rPr>
        <w:t>》有关规定，</w:t>
      </w:r>
      <w:r>
        <w:rPr>
          <w:rFonts w:ascii="仿宋_GB2312" w:eastAsia="仿宋_GB2312"/>
          <w:color w:val="auto"/>
          <w:sz w:val="32"/>
          <w:szCs w:val="32"/>
        </w:rPr>
        <w:t>202</w:t>
      </w:r>
      <w:r>
        <w:rPr>
          <w:rFonts w:hint="eastAsia" w:ascii="仿宋_GB2312" w:eastAsia="仿宋_GB2312"/>
          <w:color w:val="auto"/>
          <w:sz w:val="32"/>
          <w:szCs w:val="32"/>
          <w:lang w:val="en-US" w:eastAsia="zh-CN"/>
        </w:rPr>
        <w:t>4</w:t>
      </w:r>
      <w:r>
        <w:rPr>
          <w:rFonts w:hint="eastAsia" w:ascii="仿宋_GB2312" w:eastAsia="仿宋_GB2312"/>
          <w:color w:val="auto"/>
          <w:sz w:val="32"/>
          <w:szCs w:val="32"/>
        </w:rPr>
        <w:t>年第</w:t>
      </w:r>
      <w:r>
        <w:rPr>
          <w:rFonts w:hint="eastAsia" w:ascii="仿宋_GB2312" w:eastAsia="仿宋_GB2312"/>
          <w:color w:val="auto"/>
          <w:sz w:val="32"/>
          <w:szCs w:val="32"/>
          <w:lang w:eastAsia="zh-CN"/>
        </w:rPr>
        <w:t>二</w:t>
      </w:r>
      <w:r>
        <w:rPr>
          <w:rFonts w:hint="eastAsia" w:ascii="仿宋_GB2312" w:eastAsia="仿宋_GB2312"/>
          <w:color w:val="auto"/>
          <w:sz w:val="32"/>
          <w:szCs w:val="32"/>
        </w:rPr>
        <w:t>季度审查备案市政府部门规范性文</w:t>
      </w:r>
      <w:r>
        <w:rPr>
          <w:rFonts w:hint="eastAsia" w:ascii="仿宋_GB2312" w:eastAsia="仿宋_GB2312"/>
          <w:color w:val="auto"/>
          <w:sz w:val="32"/>
          <w:szCs w:val="32"/>
          <w:highlight w:val="none"/>
        </w:rPr>
        <w:t>件</w:t>
      </w:r>
      <w:r>
        <w:rPr>
          <w:rFonts w:hint="eastAsia" w:ascii="仿宋_GB2312" w:eastAsia="仿宋_GB2312"/>
          <w:color w:val="auto"/>
          <w:sz w:val="32"/>
          <w:szCs w:val="32"/>
          <w:highlight w:val="none"/>
          <w:lang w:val="en-US" w:eastAsia="zh-CN"/>
        </w:rPr>
        <w:t>10</w:t>
      </w:r>
      <w:r>
        <w:rPr>
          <w:rFonts w:hint="eastAsia" w:ascii="仿宋_GB2312" w:eastAsia="仿宋_GB2312"/>
          <w:color w:val="auto"/>
          <w:sz w:val="32"/>
          <w:szCs w:val="32"/>
          <w:highlight w:val="none"/>
        </w:rPr>
        <w:t>件，现将备案的文件目</w:t>
      </w:r>
      <w:r>
        <w:rPr>
          <w:rFonts w:hint="eastAsia" w:ascii="仿宋_GB2312" w:eastAsia="仿宋_GB2312"/>
          <w:sz w:val="32"/>
          <w:szCs w:val="32"/>
          <w:highlight w:val="none"/>
        </w:rPr>
        <w:t>录予以公布。</w:t>
      </w:r>
    </w:p>
    <w:p>
      <w:pPr>
        <w:pStyle w:val="10"/>
        <w:spacing w:line="560" w:lineRule="exact"/>
        <w:ind w:firstLine="640" w:firstLineChars="200"/>
        <w:rPr>
          <w:rFonts w:ascii="仿宋_GB2312" w:hAnsi="Calibri" w:eastAsia="仿宋_GB2312"/>
          <w:sz w:val="32"/>
          <w:szCs w:val="32"/>
          <w:highlight w:val="none"/>
        </w:rPr>
      </w:pPr>
    </w:p>
    <w:p>
      <w:pPr>
        <w:pStyle w:val="10"/>
        <w:spacing w:line="560" w:lineRule="exact"/>
        <w:ind w:left="2078" w:leftChars="304" w:hanging="1440" w:hangingChars="450"/>
        <w:rPr>
          <w:rFonts w:ascii="仿宋_GB2312" w:eastAsia="仿宋_GB2312"/>
          <w:sz w:val="32"/>
          <w:szCs w:val="32"/>
        </w:rPr>
      </w:pPr>
      <w:r>
        <w:rPr>
          <w:rFonts w:hint="eastAsia" w:ascii="仿宋_GB2312" w:eastAsia="仿宋_GB2312"/>
          <w:sz w:val="32"/>
          <w:szCs w:val="32"/>
        </w:rPr>
        <w:t>附件：</w:t>
      </w:r>
      <w:r>
        <w:rPr>
          <w:rFonts w:ascii="仿宋_GB2312" w:eastAsia="仿宋_GB2312"/>
          <w:sz w:val="32"/>
          <w:szCs w:val="32"/>
        </w:rPr>
        <w:t>202</w:t>
      </w:r>
      <w:r>
        <w:rPr>
          <w:rFonts w:hint="eastAsia" w:ascii="仿宋_GB2312" w:eastAsia="仿宋_GB2312"/>
          <w:sz w:val="32"/>
          <w:szCs w:val="32"/>
          <w:lang w:val="en-US" w:eastAsia="zh-CN"/>
        </w:rPr>
        <w:t>4</w:t>
      </w:r>
      <w:r>
        <w:rPr>
          <w:rFonts w:hint="eastAsia" w:ascii="仿宋_GB2312" w:eastAsia="仿宋_GB2312"/>
          <w:sz w:val="32"/>
          <w:szCs w:val="32"/>
        </w:rPr>
        <w:t>年第</w:t>
      </w:r>
      <w:r>
        <w:rPr>
          <w:rFonts w:hint="eastAsia" w:ascii="仿宋_GB2312" w:eastAsia="仿宋_GB2312"/>
          <w:sz w:val="32"/>
          <w:szCs w:val="32"/>
          <w:lang w:eastAsia="zh-CN"/>
        </w:rPr>
        <w:t>二</w:t>
      </w:r>
      <w:r>
        <w:rPr>
          <w:rFonts w:hint="eastAsia" w:ascii="仿宋_GB2312" w:eastAsia="仿宋_GB2312"/>
          <w:sz w:val="32"/>
          <w:szCs w:val="32"/>
        </w:rPr>
        <w:t>季度备案的市政府部门规范性文件目录</w:t>
      </w:r>
    </w:p>
    <w:p>
      <w:pPr>
        <w:pStyle w:val="10"/>
        <w:spacing w:line="560" w:lineRule="exact"/>
        <w:ind w:left="2076" w:leftChars="760" w:hanging="480" w:hangingChars="150"/>
        <w:rPr>
          <w:rFonts w:ascii="仿宋_GB2312" w:hAnsi="Calibri" w:eastAsia="仿宋_GB2312"/>
          <w:sz w:val="32"/>
          <w:szCs w:val="32"/>
          <w:shd w:val="clear" w:color="auto" w:fill="FFFFFF"/>
        </w:rPr>
      </w:pPr>
    </w:p>
    <w:p>
      <w:pPr>
        <w:tabs>
          <w:tab w:val="left" w:pos="5220"/>
        </w:tabs>
        <w:spacing w:line="560" w:lineRule="exact"/>
        <w:ind w:firstLine="3664" w:firstLineChars="1145"/>
        <w:rPr>
          <w:rFonts w:ascii="仿宋_GB2312" w:eastAsia="仿宋_GB2312"/>
          <w:sz w:val="32"/>
          <w:szCs w:val="32"/>
        </w:rPr>
      </w:pPr>
      <w:r>
        <w:rPr>
          <w:rFonts w:hint="eastAsia" w:ascii="仿宋_GB2312" w:eastAsia="仿宋_GB2312"/>
          <w:sz w:val="32"/>
          <w:szCs w:val="32"/>
        </w:rPr>
        <w:t xml:space="preserve">         </w:t>
      </w:r>
      <w:r>
        <w:rPr>
          <w:rFonts w:hint="eastAsia" w:ascii="仿宋_GB2312" w:eastAsia="仿宋_GB2312"/>
          <w:sz w:val="32"/>
          <w:szCs w:val="32"/>
          <w:lang w:val="en-US" w:eastAsia="zh-CN"/>
        </w:rPr>
        <w:t xml:space="preserve"> </w:t>
      </w:r>
      <w:r>
        <w:rPr>
          <w:rFonts w:hint="eastAsia" w:ascii="仿宋_GB2312" w:eastAsia="仿宋_GB2312"/>
          <w:sz w:val="32"/>
          <w:szCs w:val="32"/>
        </w:rPr>
        <w:t>青岛市司法局</w:t>
      </w:r>
    </w:p>
    <w:p>
      <w:pPr>
        <w:tabs>
          <w:tab w:val="left" w:pos="5220"/>
        </w:tabs>
        <w:spacing w:line="560" w:lineRule="exact"/>
        <w:rPr>
          <w:rFonts w:ascii="仿宋_GB2312" w:eastAsia="仿宋_GB2312"/>
          <w:sz w:val="32"/>
          <w:szCs w:val="32"/>
        </w:rPr>
      </w:pPr>
      <w:r>
        <w:rPr>
          <w:rFonts w:hint="eastAsia" w:ascii="仿宋_GB2312" w:eastAsia="仿宋_GB2312"/>
          <w:sz w:val="32"/>
          <w:szCs w:val="32"/>
        </w:rPr>
        <w:t xml:space="preserve">                              </w:t>
      </w:r>
      <w:r>
        <w:rPr>
          <w:rFonts w:hint="eastAsia" w:ascii="仿宋_GB2312" w:eastAsia="仿宋_GB2312"/>
          <w:sz w:val="32"/>
          <w:szCs w:val="32"/>
          <w:lang w:val="en-US" w:eastAsia="zh-CN"/>
        </w:rPr>
        <w:t xml:space="preserve">    </w:t>
      </w:r>
      <w:r>
        <w:rPr>
          <w:rFonts w:hint="eastAsia" w:ascii="仿宋_GB2312" w:eastAsia="仿宋_GB2312"/>
          <w:sz w:val="32"/>
          <w:szCs w:val="32"/>
        </w:rPr>
        <w:t xml:space="preserve"> </w:t>
      </w:r>
      <w:r>
        <w:rPr>
          <w:rFonts w:hint="eastAsia" w:ascii="仿宋_GB2312" w:eastAsia="仿宋_GB2312"/>
          <w:sz w:val="32"/>
          <w:szCs w:val="32"/>
          <w:lang w:val="en-US" w:eastAsia="zh-CN"/>
        </w:rPr>
        <w:t xml:space="preserve">  </w:t>
      </w:r>
      <w:r>
        <w:rPr>
          <w:rFonts w:ascii="仿宋_GB2312" w:eastAsia="仿宋_GB2312"/>
          <w:sz w:val="32"/>
          <w:szCs w:val="32"/>
        </w:rPr>
        <w:t>202</w:t>
      </w:r>
      <w:r>
        <w:rPr>
          <w:rFonts w:hint="eastAsia" w:ascii="仿宋_GB2312" w:eastAsia="仿宋_GB2312"/>
          <w:sz w:val="32"/>
          <w:szCs w:val="32"/>
          <w:lang w:val="en-US" w:eastAsia="zh-CN"/>
        </w:rPr>
        <w:t>4</w:t>
      </w:r>
      <w:r>
        <w:rPr>
          <w:rFonts w:ascii="仿宋_GB2312" w:eastAsia="仿宋_GB2312"/>
          <w:sz w:val="32"/>
          <w:szCs w:val="32"/>
        </w:rPr>
        <w:t>年</w:t>
      </w:r>
      <w:r>
        <w:rPr>
          <w:rFonts w:hint="eastAsia" w:ascii="仿宋_GB2312" w:eastAsia="仿宋_GB2312"/>
          <w:sz w:val="32"/>
          <w:szCs w:val="32"/>
          <w:lang w:val="en-US" w:eastAsia="zh-CN"/>
        </w:rPr>
        <w:t>7</w:t>
      </w:r>
      <w:r>
        <w:rPr>
          <w:rFonts w:ascii="仿宋_GB2312" w:eastAsia="仿宋_GB2312"/>
          <w:sz w:val="32"/>
          <w:szCs w:val="32"/>
        </w:rPr>
        <w:t>月</w:t>
      </w:r>
      <w:r>
        <w:rPr>
          <w:rFonts w:hint="eastAsia" w:ascii="仿宋_GB2312" w:eastAsia="仿宋_GB2312"/>
          <w:sz w:val="32"/>
          <w:szCs w:val="32"/>
          <w:lang w:val="en-US" w:eastAsia="zh-CN"/>
        </w:rPr>
        <w:t>5</w:t>
      </w:r>
      <w:r>
        <w:rPr>
          <w:rFonts w:ascii="仿宋_GB2312" w:eastAsia="仿宋_GB2312"/>
          <w:sz w:val="32"/>
          <w:szCs w:val="32"/>
        </w:rPr>
        <w:t>日</w:t>
      </w:r>
    </w:p>
    <w:p>
      <w:pPr>
        <w:widowControl/>
        <w:spacing w:line="560" w:lineRule="exact"/>
        <w:jc w:val="left"/>
        <w:rPr>
          <w:rFonts w:ascii="仿宋_GB2312" w:eastAsia="仿宋_GB2312"/>
          <w:sz w:val="32"/>
          <w:szCs w:val="32"/>
        </w:rPr>
        <w:sectPr>
          <w:footerReference r:id="rId3" w:type="default"/>
          <w:pgSz w:w="11906" w:h="16838"/>
          <w:pgMar w:top="2098" w:right="1474" w:bottom="1984" w:left="1587" w:header="851" w:footer="992" w:gutter="0"/>
          <w:cols w:space="720" w:num="1"/>
          <w:docGrid w:type="lines" w:linePitch="312" w:charSpace="0"/>
        </w:sectPr>
      </w:pPr>
    </w:p>
    <w:p>
      <w:pPr>
        <w:tabs>
          <w:tab w:val="left" w:pos="5220"/>
        </w:tabs>
        <w:rPr>
          <w:rFonts w:ascii="黑体" w:eastAsia="黑体"/>
          <w:sz w:val="32"/>
          <w:szCs w:val="32"/>
        </w:rPr>
      </w:pPr>
      <w:r>
        <w:rPr>
          <w:rFonts w:hint="eastAsia" w:ascii="黑体" w:eastAsia="黑体"/>
          <w:sz w:val="32"/>
          <w:szCs w:val="32"/>
        </w:rPr>
        <w:t>附件</w:t>
      </w:r>
    </w:p>
    <w:p>
      <w:pPr>
        <w:tabs>
          <w:tab w:val="left" w:pos="5220"/>
        </w:tabs>
        <w:jc w:val="center"/>
        <w:rPr>
          <w:rFonts w:ascii="文星标宋" w:hAnsi="文星标宋" w:eastAsia="文星标宋" w:cs="宋体"/>
          <w:bCs/>
          <w:sz w:val="36"/>
          <w:szCs w:val="36"/>
        </w:rPr>
      </w:pPr>
      <w:r>
        <w:rPr>
          <w:rFonts w:ascii="文星标宋" w:hAnsi="文星标宋" w:eastAsia="文星标宋" w:cs="宋体"/>
          <w:bCs/>
          <w:sz w:val="36"/>
          <w:szCs w:val="36"/>
        </w:rPr>
        <w:t>202</w:t>
      </w:r>
      <w:r>
        <w:rPr>
          <w:rFonts w:hint="eastAsia" w:ascii="文星标宋" w:hAnsi="文星标宋" w:eastAsia="文星标宋" w:cs="宋体"/>
          <w:bCs/>
          <w:sz w:val="36"/>
          <w:szCs w:val="36"/>
          <w:lang w:val="en-US" w:eastAsia="zh-CN"/>
        </w:rPr>
        <w:t>4</w:t>
      </w:r>
      <w:r>
        <w:rPr>
          <w:rFonts w:hint="eastAsia" w:ascii="文星标宋" w:hAnsi="文星标宋" w:eastAsia="文星标宋" w:cs="宋体"/>
          <w:bCs/>
          <w:sz w:val="36"/>
          <w:szCs w:val="36"/>
        </w:rPr>
        <w:t>年第</w:t>
      </w:r>
      <w:r>
        <w:rPr>
          <w:rFonts w:hint="eastAsia" w:ascii="文星标宋" w:hAnsi="文星标宋" w:eastAsia="文星标宋" w:cs="宋体"/>
          <w:bCs/>
          <w:sz w:val="36"/>
          <w:szCs w:val="36"/>
          <w:lang w:eastAsia="zh-CN"/>
        </w:rPr>
        <w:t>二</w:t>
      </w:r>
      <w:r>
        <w:rPr>
          <w:rFonts w:hint="eastAsia" w:ascii="文星标宋" w:hAnsi="文星标宋" w:eastAsia="文星标宋" w:cs="宋体"/>
          <w:bCs/>
          <w:sz w:val="36"/>
          <w:szCs w:val="36"/>
        </w:rPr>
        <w:t>季度备案的市政府部门规范性文件目录</w:t>
      </w:r>
    </w:p>
    <w:tbl>
      <w:tblPr>
        <w:tblStyle w:val="8"/>
        <w:tblW w:w="14000"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907"/>
        <w:gridCol w:w="5714"/>
        <w:gridCol w:w="2268"/>
        <w:gridCol w:w="1985"/>
        <w:gridCol w:w="212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54" w:hRule="atLeast"/>
        </w:trPr>
        <w:tc>
          <w:tcPr>
            <w:tcW w:w="1907" w:type="dxa"/>
            <w:vAlign w:val="center"/>
          </w:tcPr>
          <w:p>
            <w:pPr>
              <w:jc w:val="center"/>
              <w:rPr>
                <w:b/>
                <w:szCs w:val="21"/>
              </w:rPr>
            </w:pPr>
            <w:r>
              <w:rPr>
                <w:rFonts w:hint="eastAsia"/>
                <w:b/>
                <w:szCs w:val="21"/>
              </w:rPr>
              <w:t>制定单位</w:t>
            </w:r>
          </w:p>
        </w:tc>
        <w:tc>
          <w:tcPr>
            <w:tcW w:w="5714" w:type="dxa"/>
            <w:vAlign w:val="center"/>
          </w:tcPr>
          <w:p>
            <w:pPr>
              <w:jc w:val="center"/>
              <w:rPr>
                <w:b/>
                <w:szCs w:val="21"/>
              </w:rPr>
            </w:pPr>
            <w:r>
              <w:rPr>
                <w:rFonts w:hint="eastAsia"/>
                <w:b/>
                <w:szCs w:val="21"/>
              </w:rPr>
              <w:t>文件名称</w:t>
            </w:r>
          </w:p>
        </w:tc>
        <w:tc>
          <w:tcPr>
            <w:tcW w:w="2268" w:type="dxa"/>
            <w:vAlign w:val="center"/>
          </w:tcPr>
          <w:p>
            <w:pPr>
              <w:jc w:val="center"/>
              <w:rPr>
                <w:b/>
                <w:szCs w:val="21"/>
              </w:rPr>
            </w:pPr>
            <w:r>
              <w:rPr>
                <w:rFonts w:hint="eastAsia"/>
                <w:b/>
                <w:szCs w:val="21"/>
              </w:rPr>
              <w:t>发文字号</w:t>
            </w:r>
          </w:p>
        </w:tc>
        <w:tc>
          <w:tcPr>
            <w:tcW w:w="1985" w:type="dxa"/>
            <w:vAlign w:val="center"/>
          </w:tcPr>
          <w:p>
            <w:pPr>
              <w:jc w:val="center"/>
              <w:rPr>
                <w:b/>
                <w:szCs w:val="21"/>
              </w:rPr>
            </w:pPr>
            <w:r>
              <w:rPr>
                <w:rFonts w:hint="eastAsia"/>
                <w:b/>
                <w:szCs w:val="21"/>
              </w:rPr>
              <w:t>发布日期</w:t>
            </w:r>
          </w:p>
        </w:tc>
        <w:tc>
          <w:tcPr>
            <w:tcW w:w="2126" w:type="dxa"/>
            <w:vAlign w:val="center"/>
          </w:tcPr>
          <w:p>
            <w:pPr>
              <w:jc w:val="center"/>
              <w:rPr>
                <w:b/>
                <w:szCs w:val="21"/>
              </w:rPr>
            </w:pPr>
            <w:r>
              <w:rPr>
                <w:rFonts w:hint="eastAsia"/>
                <w:b/>
                <w:szCs w:val="21"/>
              </w:rPr>
              <w:t>登记号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907" w:type="dxa"/>
            <w:vAlign w:val="center"/>
          </w:tcPr>
          <w:p>
            <w:pPr>
              <w:jc w:val="center"/>
              <w:rPr>
                <w:rFonts w:hint="eastAsia" w:ascii="仿宋_GB2312" w:hAnsi="仿宋_GB2312" w:eastAsia="仿宋_GB2312" w:cs="仿宋_GB2312"/>
                <w:lang w:val="en-US" w:eastAsia="zh-CN"/>
              </w:rPr>
            </w:pPr>
            <w:r>
              <w:rPr>
                <w:rFonts w:hint="eastAsia" w:ascii="仿宋_GB2312" w:hAnsi="仿宋_GB2312" w:eastAsia="仿宋_GB2312" w:cs="仿宋_GB2312"/>
                <w:lang w:val="en-US" w:eastAsia="zh-CN"/>
              </w:rPr>
              <w:t>青岛市工业和信息化局</w:t>
            </w:r>
          </w:p>
        </w:tc>
        <w:tc>
          <w:tcPr>
            <w:tcW w:w="5714" w:type="dxa"/>
            <w:vAlign w:val="center"/>
          </w:tcPr>
          <w:p>
            <w:pPr>
              <w:jc w:val="center"/>
              <w:rPr>
                <w:rFonts w:hint="eastAsia" w:ascii="仿宋_GB2312" w:hAnsi="仿宋_GB2312" w:eastAsia="仿宋_GB2312" w:cs="仿宋_GB2312"/>
                <w:lang w:val="en-US" w:eastAsia="zh-CN"/>
              </w:rPr>
            </w:pPr>
            <w:r>
              <w:rPr>
                <w:rFonts w:hint="eastAsia" w:ascii="仿宋_GB2312" w:hAnsi="仿宋_GB2312" w:eastAsia="仿宋_GB2312" w:cs="仿宋_GB2312"/>
                <w:lang w:val="en-US" w:eastAsia="zh-CN"/>
              </w:rPr>
              <w:t>青岛市工业和信息化局 青岛市公安局 青岛市交通运输局关于印发《青岛市低速无人驾驶车辆道路测试与商业示范管理实施细则（试行）》的通知</w:t>
            </w:r>
          </w:p>
        </w:tc>
        <w:tc>
          <w:tcPr>
            <w:tcW w:w="2268" w:type="dxa"/>
            <w:vAlign w:val="center"/>
          </w:tcPr>
          <w:p>
            <w:pPr>
              <w:jc w:val="center"/>
              <w:rPr>
                <w:rFonts w:hint="eastAsia" w:ascii="仿宋_GB2312" w:hAnsi="仿宋_GB2312" w:eastAsia="仿宋_GB2312" w:cs="仿宋_GB2312"/>
                <w:lang w:val="en-US" w:eastAsia="zh-CN"/>
              </w:rPr>
            </w:pPr>
            <w:r>
              <w:rPr>
                <w:rFonts w:hint="eastAsia" w:ascii="仿宋_GB2312" w:hAnsi="仿宋_GB2312" w:eastAsia="仿宋_GB2312" w:cs="仿宋_GB2312"/>
                <w:lang w:val="en-US" w:eastAsia="zh-CN"/>
              </w:rPr>
              <w:t>青工信规〔2024〕1号</w:t>
            </w:r>
          </w:p>
        </w:tc>
        <w:tc>
          <w:tcPr>
            <w:tcW w:w="1985" w:type="dxa"/>
            <w:vAlign w:val="center"/>
          </w:tcPr>
          <w:p>
            <w:pPr>
              <w:jc w:val="center"/>
              <w:rPr>
                <w:rFonts w:hint="eastAsia" w:ascii="仿宋_GB2312" w:hAnsi="仿宋_GB2312" w:eastAsia="仿宋_GB2312" w:cs="仿宋_GB2312"/>
                <w:lang w:val="en-US" w:eastAsia="zh-CN"/>
              </w:rPr>
            </w:pPr>
            <w:r>
              <w:rPr>
                <w:rFonts w:hint="eastAsia" w:ascii="仿宋_GB2312" w:hAnsi="仿宋_GB2312" w:eastAsia="仿宋_GB2312" w:cs="仿宋_GB2312"/>
                <w:lang w:val="en-US" w:eastAsia="zh-CN"/>
              </w:rPr>
              <w:t>2024年3月13日</w:t>
            </w:r>
          </w:p>
        </w:tc>
        <w:tc>
          <w:tcPr>
            <w:tcW w:w="2126" w:type="dxa"/>
            <w:vAlign w:val="center"/>
          </w:tcPr>
          <w:p>
            <w:pPr>
              <w:jc w:val="center"/>
              <w:rPr>
                <w:rFonts w:hint="eastAsia" w:ascii="仿宋_GB2312" w:hAnsi="仿宋_GB2312" w:eastAsia="仿宋_GB2312" w:cs="仿宋_GB2312"/>
                <w:lang w:val="en-US" w:eastAsia="zh-CN"/>
              </w:rPr>
            </w:pPr>
            <w:r>
              <w:rPr>
                <w:rFonts w:hint="eastAsia" w:ascii="仿宋_GB2312" w:hAnsi="仿宋_GB2312" w:eastAsia="仿宋_GB2312" w:cs="仿宋_GB2312"/>
                <w:lang w:val="en-US" w:eastAsia="zh-CN"/>
              </w:rPr>
              <w:t>QDCR-2024-0060001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907" w:type="dxa"/>
            <w:vAlign w:val="center"/>
          </w:tcPr>
          <w:p>
            <w:pPr>
              <w:jc w:val="center"/>
              <w:rPr>
                <w:rFonts w:hint="eastAsia" w:ascii="仿宋_GB2312" w:hAnsi="仿宋_GB2312" w:eastAsia="仿宋_GB2312" w:cs="仿宋_GB2312"/>
                <w:lang w:val="en-US" w:eastAsia="zh-CN"/>
              </w:rPr>
            </w:pPr>
            <w:r>
              <w:rPr>
                <w:rFonts w:hint="eastAsia" w:ascii="仿宋_GB2312" w:hAnsi="仿宋_GB2312" w:eastAsia="仿宋_GB2312" w:cs="仿宋_GB2312"/>
                <w:lang w:val="en-US" w:eastAsia="zh-CN"/>
              </w:rPr>
              <w:t>青岛市民政局</w:t>
            </w:r>
          </w:p>
        </w:tc>
        <w:tc>
          <w:tcPr>
            <w:tcW w:w="5714" w:type="dxa"/>
            <w:vAlign w:val="center"/>
          </w:tcPr>
          <w:p>
            <w:pPr>
              <w:jc w:val="center"/>
              <w:rPr>
                <w:rFonts w:hint="eastAsia" w:ascii="仿宋_GB2312" w:hAnsi="仿宋_GB2312" w:eastAsia="仿宋_GB2312" w:cs="仿宋_GB2312"/>
                <w:lang w:val="en-US" w:eastAsia="zh-CN"/>
              </w:rPr>
            </w:pPr>
            <w:r>
              <w:rPr>
                <w:rFonts w:hint="eastAsia" w:ascii="仿宋_GB2312" w:hAnsi="仿宋_GB2312" w:eastAsia="仿宋_GB2312" w:cs="仿宋_GB2312"/>
                <w:lang w:val="en-US" w:eastAsia="zh-CN"/>
              </w:rPr>
              <w:t>青岛市民政局 青岛市工商业联合会 青岛市行政审批服务局 关于印发《青岛市异地商会管理细则（试行）》的通知</w:t>
            </w:r>
          </w:p>
        </w:tc>
        <w:tc>
          <w:tcPr>
            <w:tcW w:w="2268" w:type="dxa"/>
            <w:vAlign w:val="center"/>
          </w:tcPr>
          <w:p>
            <w:pPr>
              <w:jc w:val="center"/>
              <w:rPr>
                <w:rFonts w:hint="eastAsia" w:ascii="仿宋_GB2312" w:hAnsi="仿宋_GB2312" w:eastAsia="仿宋_GB2312" w:cs="仿宋_GB2312"/>
                <w:lang w:val="en-US" w:eastAsia="zh-CN"/>
              </w:rPr>
            </w:pPr>
            <w:r>
              <w:rPr>
                <w:rFonts w:hint="eastAsia" w:ascii="仿宋_GB2312" w:hAnsi="仿宋_GB2312" w:eastAsia="仿宋_GB2312" w:cs="仿宋_GB2312"/>
                <w:lang w:val="en-US" w:eastAsia="zh-CN"/>
              </w:rPr>
              <w:t>青民规〔2024〕1号</w:t>
            </w:r>
          </w:p>
        </w:tc>
        <w:tc>
          <w:tcPr>
            <w:tcW w:w="1985" w:type="dxa"/>
            <w:vAlign w:val="center"/>
          </w:tcPr>
          <w:p>
            <w:pPr>
              <w:jc w:val="center"/>
              <w:rPr>
                <w:rFonts w:hint="eastAsia" w:ascii="仿宋_GB2312" w:hAnsi="仿宋_GB2312" w:eastAsia="仿宋_GB2312" w:cs="仿宋_GB2312"/>
                <w:lang w:val="en-US" w:eastAsia="zh-CN"/>
              </w:rPr>
            </w:pPr>
            <w:r>
              <w:rPr>
                <w:rFonts w:hint="eastAsia" w:ascii="仿宋_GB2312" w:hAnsi="仿宋_GB2312" w:eastAsia="仿宋_GB2312" w:cs="仿宋_GB2312"/>
                <w:lang w:val="en-US" w:eastAsia="zh-CN"/>
              </w:rPr>
              <w:t>2024年3月26日</w:t>
            </w:r>
          </w:p>
        </w:tc>
        <w:tc>
          <w:tcPr>
            <w:tcW w:w="2126" w:type="dxa"/>
            <w:vAlign w:val="center"/>
          </w:tcPr>
          <w:p>
            <w:pPr>
              <w:jc w:val="center"/>
              <w:rPr>
                <w:rFonts w:hint="eastAsia" w:ascii="仿宋_GB2312" w:hAnsi="仿宋_GB2312" w:eastAsia="仿宋_GB2312" w:cs="仿宋_GB2312"/>
                <w:lang w:val="en-US" w:eastAsia="zh-CN"/>
              </w:rPr>
            </w:pPr>
            <w:r>
              <w:rPr>
                <w:rFonts w:hint="eastAsia" w:ascii="仿宋_GB2312" w:hAnsi="仿宋_GB2312" w:eastAsia="仿宋_GB2312" w:cs="仿宋_GB2312"/>
                <w:lang w:val="en-US" w:eastAsia="zh-CN"/>
              </w:rPr>
              <w:t>QDCR-2024-0080001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907" w:type="dxa"/>
            <w:vAlign w:val="center"/>
          </w:tcPr>
          <w:p>
            <w:pPr>
              <w:jc w:val="center"/>
              <w:rPr>
                <w:rFonts w:hint="eastAsia" w:ascii="仿宋_GB2312" w:hAnsi="仿宋_GB2312" w:eastAsia="仿宋_GB2312" w:cs="仿宋_GB2312"/>
                <w:lang w:val="en-US" w:eastAsia="zh-CN"/>
              </w:rPr>
            </w:pPr>
            <w:r>
              <w:rPr>
                <w:rFonts w:hint="eastAsia" w:ascii="仿宋_GB2312" w:hAnsi="仿宋_GB2312" w:eastAsia="仿宋_GB2312" w:cs="仿宋_GB2312"/>
                <w:lang w:val="en-US" w:eastAsia="zh-CN"/>
              </w:rPr>
              <w:t>青岛市财政局</w:t>
            </w:r>
          </w:p>
        </w:tc>
        <w:tc>
          <w:tcPr>
            <w:tcW w:w="5714" w:type="dxa"/>
            <w:vAlign w:val="center"/>
          </w:tcPr>
          <w:p>
            <w:pPr>
              <w:jc w:val="center"/>
              <w:rPr>
                <w:rFonts w:hint="eastAsia" w:ascii="仿宋_GB2312" w:hAnsi="仿宋_GB2312" w:eastAsia="仿宋_GB2312" w:cs="仿宋_GB2312"/>
                <w:lang w:val="en-US" w:eastAsia="zh-CN"/>
              </w:rPr>
            </w:pPr>
            <w:r>
              <w:rPr>
                <w:rFonts w:hint="eastAsia" w:ascii="仿宋_GB2312" w:hAnsi="仿宋_GB2312" w:eastAsia="仿宋_GB2312" w:cs="仿宋_GB2312"/>
                <w:lang w:val="en-US" w:eastAsia="zh-CN"/>
              </w:rPr>
              <w:t>青岛市财政局 中共青岛市委金融委员会办公室 青岛市民营经济发展局 中国人民银行青岛市分行 国家金融监督管理总局青岛监管局关于印发《青岛市企业应急引导基金管理办法》的通知</w:t>
            </w:r>
          </w:p>
        </w:tc>
        <w:tc>
          <w:tcPr>
            <w:tcW w:w="2268" w:type="dxa"/>
            <w:vAlign w:val="center"/>
          </w:tcPr>
          <w:p>
            <w:pPr>
              <w:jc w:val="center"/>
              <w:rPr>
                <w:rFonts w:hint="eastAsia" w:ascii="仿宋_GB2312" w:hAnsi="仿宋_GB2312" w:eastAsia="仿宋_GB2312" w:cs="仿宋_GB2312"/>
                <w:lang w:val="en-US" w:eastAsia="zh-CN"/>
              </w:rPr>
            </w:pPr>
            <w:r>
              <w:rPr>
                <w:rFonts w:hint="eastAsia" w:ascii="仿宋_GB2312" w:hAnsi="仿宋_GB2312" w:eastAsia="仿宋_GB2312" w:cs="仿宋_GB2312"/>
                <w:lang w:val="en-US" w:eastAsia="zh-CN"/>
              </w:rPr>
              <w:t>青财规〔2024〕1号</w:t>
            </w:r>
          </w:p>
        </w:tc>
        <w:tc>
          <w:tcPr>
            <w:tcW w:w="1985" w:type="dxa"/>
            <w:vAlign w:val="center"/>
          </w:tcPr>
          <w:p>
            <w:pPr>
              <w:jc w:val="center"/>
              <w:rPr>
                <w:rFonts w:hint="eastAsia" w:ascii="仿宋_GB2312" w:hAnsi="仿宋_GB2312" w:eastAsia="仿宋_GB2312" w:cs="仿宋_GB2312"/>
                <w:lang w:val="en-US" w:eastAsia="zh-CN"/>
              </w:rPr>
            </w:pPr>
            <w:r>
              <w:rPr>
                <w:rFonts w:hint="eastAsia" w:ascii="仿宋_GB2312" w:hAnsi="仿宋_GB2312" w:eastAsia="仿宋_GB2312" w:cs="仿宋_GB2312"/>
                <w:lang w:val="en-US" w:eastAsia="zh-CN"/>
              </w:rPr>
              <w:t>2024年5月10日</w:t>
            </w:r>
          </w:p>
        </w:tc>
        <w:tc>
          <w:tcPr>
            <w:tcW w:w="2126" w:type="dxa"/>
            <w:vAlign w:val="center"/>
          </w:tcPr>
          <w:p>
            <w:pPr>
              <w:jc w:val="center"/>
              <w:rPr>
                <w:rFonts w:hint="eastAsia" w:ascii="仿宋_GB2312" w:hAnsi="仿宋_GB2312" w:eastAsia="仿宋_GB2312" w:cs="仿宋_GB2312"/>
                <w:lang w:val="en-US" w:eastAsia="zh-CN"/>
              </w:rPr>
            </w:pPr>
            <w:r>
              <w:rPr>
                <w:rFonts w:hint="eastAsia" w:ascii="仿宋_GB2312" w:hAnsi="仿宋_GB2312" w:eastAsia="仿宋_GB2312" w:cs="仿宋_GB2312"/>
                <w:lang w:val="en-US" w:eastAsia="zh-CN"/>
              </w:rPr>
              <w:t>QDCR-2024-0100001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907" w:type="dxa"/>
            <w:vAlign w:val="center"/>
          </w:tcPr>
          <w:p>
            <w:pPr>
              <w:jc w:val="center"/>
              <w:rPr>
                <w:rFonts w:hint="eastAsia" w:ascii="仿宋_GB2312" w:hAnsi="仿宋_GB2312" w:eastAsia="仿宋_GB2312" w:cs="仿宋_GB2312"/>
                <w:lang w:val="en-US" w:eastAsia="zh-CN"/>
              </w:rPr>
            </w:pPr>
            <w:r>
              <w:rPr>
                <w:rFonts w:hint="eastAsia" w:ascii="仿宋_GB2312" w:hAnsi="仿宋_GB2312" w:eastAsia="仿宋_GB2312" w:cs="仿宋_GB2312"/>
                <w:lang w:val="en-US" w:eastAsia="zh-CN"/>
              </w:rPr>
              <w:t>青岛市交通运输局</w:t>
            </w:r>
          </w:p>
        </w:tc>
        <w:tc>
          <w:tcPr>
            <w:tcW w:w="5714" w:type="dxa"/>
            <w:vAlign w:val="center"/>
          </w:tcPr>
          <w:p>
            <w:pPr>
              <w:jc w:val="both"/>
              <w:rPr>
                <w:rFonts w:hint="eastAsia" w:ascii="仿宋_GB2312" w:hAnsi="仿宋_GB2312" w:eastAsia="仿宋_GB2312" w:cs="仿宋_GB2312"/>
                <w:lang w:val="en-US" w:eastAsia="zh-CN"/>
              </w:rPr>
            </w:pPr>
            <w:r>
              <w:rPr>
                <w:rFonts w:hint="eastAsia" w:ascii="仿宋_GB2312" w:hAnsi="仿宋_GB2312" w:eastAsia="仿宋_GB2312" w:cs="仿宋_GB2312"/>
                <w:lang w:val="en-US" w:eastAsia="zh-CN"/>
              </w:rPr>
              <w:t>青岛市交通运输局 青岛海事局 青岛市海洋发展局 青岛市市场监督管理局 青岛市公安局 青岛市文化和旅游局关于印发《青岛市游艇租赁管理办法》的通知</w:t>
            </w:r>
          </w:p>
        </w:tc>
        <w:tc>
          <w:tcPr>
            <w:tcW w:w="2268" w:type="dxa"/>
            <w:vAlign w:val="center"/>
          </w:tcPr>
          <w:p>
            <w:pPr>
              <w:jc w:val="center"/>
              <w:rPr>
                <w:rFonts w:hint="eastAsia" w:ascii="仿宋_GB2312" w:hAnsi="仿宋_GB2312" w:eastAsia="仿宋_GB2312" w:cs="仿宋_GB2312"/>
                <w:lang w:val="en-US" w:eastAsia="zh-CN"/>
              </w:rPr>
            </w:pPr>
            <w:r>
              <w:rPr>
                <w:rFonts w:hint="eastAsia" w:ascii="仿宋_GB2312" w:hAnsi="仿宋_GB2312" w:eastAsia="仿宋_GB2312" w:cs="仿宋_GB2312"/>
                <w:lang w:val="en-US" w:eastAsia="zh-CN"/>
              </w:rPr>
              <w:t>青交规〔2024〕2号</w:t>
            </w:r>
          </w:p>
        </w:tc>
        <w:tc>
          <w:tcPr>
            <w:tcW w:w="1985" w:type="dxa"/>
            <w:vAlign w:val="center"/>
          </w:tcPr>
          <w:p>
            <w:pPr>
              <w:jc w:val="center"/>
              <w:rPr>
                <w:rFonts w:hint="eastAsia" w:ascii="仿宋_GB2312" w:hAnsi="仿宋_GB2312" w:eastAsia="仿宋_GB2312" w:cs="仿宋_GB2312"/>
                <w:lang w:val="en-US" w:eastAsia="zh-CN"/>
              </w:rPr>
            </w:pPr>
            <w:r>
              <w:rPr>
                <w:rFonts w:hint="eastAsia" w:ascii="仿宋_GB2312" w:hAnsi="仿宋_GB2312" w:eastAsia="仿宋_GB2312" w:cs="仿宋_GB2312"/>
                <w:lang w:val="en-US" w:eastAsia="zh-CN"/>
              </w:rPr>
              <w:t>2024年4月16日</w:t>
            </w:r>
          </w:p>
        </w:tc>
        <w:tc>
          <w:tcPr>
            <w:tcW w:w="2126" w:type="dxa"/>
            <w:vAlign w:val="center"/>
          </w:tcPr>
          <w:p>
            <w:pPr>
              <w:jc w:val="center"/>
              <w:rPr>
                <w:rFonts w:hint="eastAsia" w:ascii="仿宋_GB2312" w:hAnsi="仿宋_GB2312" w:eastAsia="仿宋_GB2312" w:cs="仿宋_GB2312"/>
                <w:lang w:val="en-US" w:eastAsia="zh-CN"/>
              </w:rPr>
            </w:pPr>
            <w:r>
              <w:rPr>
                <w:rFonts w:hint="eastAsia" w:ascii="仿宋_GB2312" w:hAnsi="仿宋_GB2312" w:eastAsia="仿宋_GB2312" w:cs="仿宋_GB2312"/>
                <w:lang w:val="en-US" w:eastAsia="zh-CN"/>
              </w:rPr>
              <w:t>QDCR-2024-0160003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907" w:type="dxa"/>
            <w:vAlign w:val="center"/>
          </w:tcPr>
          <w:p>
            <w:pPr>
              <w:jc w:val="center"/>
              <w:rPr>
                <w:rFonts w:hint="eastAsia" w:ascii="仿宋_GB2312" w:hAnsi="仿宋_GB2312" w:eastAsia="仿宋_GB2312" w:cs="仿宋_GB2312"/>
                <w:color w:val="auto"/>
                <w:highlight w:val="none"/>
                <w:lang w:val="en-US" w:eastAsia="zh-CN"/>
              </w:rPr>
            </w:pPr>
            <w:r>
              <w:rPr>
                <w:rFonts w:hint="eastAsia" w:ascii="仿宋_GB2312" w:hAnsi="仿宋_GB2312" w:eastAsia="仿宋_GB2312" w:cs="仿宋_GB2312"/>
                <w:color w:val="auto"/>
                <w:highlight w:val="none"/>
                <w:lang w:val="en-US" w:eastAsia="zh-CN"/>
              </w:rPr>
              <w:t>青岛市农业农村局</w:t>
            </w:r>
          </w:p>
        </w:tc>
        <w:tc>
          <w:tcPr>
            <w:tcW w:w="5714" w:type="dxa"/>
            <w:vAlign w:val="center"/>
          </w:tcPr>
          <w:p>
            <w:pPr>
              <w:jc w:val="center"/>
              <w:rPr>
                <w:rFonts w:hint="eastAsia" w:ascii="仿宋_GB2312" w:hAnsi="仿宋_GB2312" w:eastAsia="仿宋_GB2312" w:cs="仿宋_GB2312"/>
                <w:color w:val="auto"/>
                <w:highlight w:val="none"/>
                <w:lang w:val="en-US" w:eastAsia="zh-CN"/>
              </w:rPr>
            </w:pPr>
            <w:r>
              <w:rPr>
                <w:rFonts w:hint="eastAsia" w:ascii="仿宋_GB2312" w:hAnsi="仿宋_GB2312" w:eastAsia="仿宋_GB2312" w:cs="仿宋_GB2312"/>
                <w:color w:val="auto"/>
                <w:highlight w:val="none"/>
                <w:lang w:val="en-US" w:eastAsia="zh-CN"/>
              </w:rPr>
              <w:t>青岛市农业农村局关于印发《青岛市市级畜禽遗传资源保种场管理办法》的通知</w:t>
            </w:r>
          </w:p>
        </w:tc>
        <w:tc>
          <w:tcPr>
            <w:tcW w:w="2268" w:type="dxa"/>
            <w:vAlign w:val="center"/>
          </w:tcPr>
          <w:p>
            <w:pPr>
              <w:jc w:val="center"/>
              <w:rPr>
                <w:rFonts w:hint="eastAsia" w:ascii="仿宋_GB2312" w:hAnsi="仿宋_GB2312" w:eastAsia="仿宋_GB2312" w:cs="仿宋_GB2312"/>
                <w:color w:val="auto"/>
                <w:highlight w:val="none"/>
                <w:lang w:val="en-US" w:eastAsia="zh-CN"/>
              </w:rPr>
            </w:pPr>
            <w:r>
              <w:rPr>
                <w:rFonts w:hint="eastAsia" w:ascii="仿宋_GB2312" w:hAnsi="仿宋_GB2312" w:eastAsia="仿宋_GB2312" w:cs="仿宋_GB2312"/>
                <w:color w:val="auto"/>
                <w:highlight w:val="none"/>
                <w:lang w:val="en-US" w:eastAsia="zh-CN"/>
              </w:rPr>
              <w:t>青农规〔2024〕1号</w:t>
            </w:r>
          </w:p>
        </w:tc>
        <w:tc>
          <w:tcPr>
            <w:tcW w:w="1985" w:type="dxa"/>
            <w:vAlign w:val="center"/>
          </w:tcPr>
          <w:p>
            <w:pPr>
              <w:jc w:val="center"/>
              <w:rPr>
                <w:rFonts w:hint="eastAsia" w:ascii="仿宋_GB2312" w:hAnsi="仿宋_GB2312" w:eastAsia="仿宋_GB2312" w:cs="仿宋_GB2312"/>
                <w:color w:val="auto"/>
                <w:highlight w:val="none"/>
                <w:lang w:val="en-US" w:eastAsia="zh-CN"/>
              </w:rPr>
            </w:pPr>
            <w:r>
              <w:rPr>
                <w:rFonts w:hint="eastAsia" w:ascii="仿宋_GB2312" w:hAnsi="仿宋_GB2312" w:eastAsia="仿宋_GB2312" w:cs="仿宋_GB2312"/>
                <w:color w:val="auto"/>
                <w:highlight w:val="none"/>
                <w:lang w:val="en-US" w:eastAsia="zh-CN"/>
              </w:rPr>
              <w:t>2024年6月6日</w:t>
            </w:r>
          </w:p>
        </w:tc>
        <w:tc>
          <w:tcPr>
            <w:tcW w:w="2126" w:type="dxa"/>
            <w:vAlign w:val="center"/>
          </w:tcPr>
          <w:p>
            <w:pPr>
              <w:jc w:val="center"/>
              <w:rPr>
                <w:rFonts w:hint="eastAsia" w:ascii="仿宋_GB2312" w:hAnsi="仿宋_GB2312" w:eastAsia="仿宋_GB2312" w:cs="仿宋_GB2312"/>
                <w:color w:val="auto"/>
                <w:highlight w:val="none"/>
                <w:lang w:val="en-US" w:eastAsia="zh-CN"/>
              </w:rPr>
            </w:pPr>
            <w:r>
              <w:rPr>
                <w:rFonts w:hint="eastAsia" w:ascii="仿宋_GB2312" w:hAnsi="仿宋_GB2312" w:eastAsia="仿宋_GB2312" w:cs="仿宋_GB2312"/>
                <w:color w:val="auto"/>
                <w:highlight w:val="none"/>
                <w:lang w:val="en-US" w:eastAsia="zh-CN"/>
              </w:rPr>
              <w:t>QDCR-2024-0180001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907" w:type="dxa"/>
            <w:vAlign w:val="center"/>
          </w:tcPr>
          <w:p>
            <w:pPr>
              <w:jc w:val="center"/>
              <w:rPr>
                <w:rFonts w:hint="eastAsia" w:ascii="仿宋_GB2312" w:hAnsi="仿宋_GB2312" w:eastAsia="仿宋_GB2312" w:cs="仿宋_GB2312"/>
                <w:color w:val="auto"/>
                <w:lang w:val="en-US" w:eastAsia="zh-CN"/>
              </w:rPr>
            </w:pPr>
            <w:r>
              <w:rPr>
                <w:rFonts w:hint="eastAsia" w:ascii="仿宋_GB2312" w:hAnsi="仿宋_GB2312" w:eastAsia="仿宋_GB2312" w:cs="仿宋_GB2312"/>
                <w:color w:val="auto"/>
                <w:lang w:val="en-US" w:eastAsia="zh-CN"/>
              </w:rPr>
              <w:t>青岛市海洋发展局</w:t>
            </w:r>
          </w:p>
        </w:tc>
        <w:tc>
          <w:tcPr>
            <w:tcW w:w="5714" w:type="dxa"/>
            <w:vAlign w:val="center"/>
          </w:tcPr>
          <w:p>
            <w:pPr>
              <w:jc w:val="center"/>
              <w:rPr>
                <w:rFonts w:hint="eastAsia" w:ascii="仿宋_GB2312" w:hAnsi="仿宋_GB2312" w:eastAsia="仿宋_GB2312" w:cs="仿宋_GB2312"/>
                <w:color w:val="auto"/>
                <w:lang w:val="en-US" w:eastAsia="zh-CN"/>
              </w:rPr>
            </w:pPr>
            <w:r>
              <w:rPr>
                <w:rFonts w:hint="eastAsia" w:ascii="仿宋_GB2312" w:hAnsi="仿宋_GB2312" w:eastAsia="仿宋_GB2312" w:cs="仿宋_GB2312"/>
                <w:color w:val="auto"/>
                <w:lang w:val="en-US" w:eastAsia="zh-CN"/>
              </w:rPr>
              <w:t>青岛市海洋发展局关于印发《青岛市高成长性海洋企业评选办法（试行）》的通知</w:t>
            </w:r>
          </w:p>
        </w:tc>
        <w:tc>
          <w:tcPr>
            <w:tcW w:w="2268" w:type="dxa"/>
            <w:vAlign w:val="center"/>
          </w:tcPr>
          <w:p>
            <w:pPr>
              <w:jc w:val="center"/>
              <w:rPr>
                <w:rFonts w:hint="eastAsia" w:ascii="仿宋_GB2312" w:hAnsi="仿宋_GB2312" w:eastAsia="仿宋_GB2312" w:cs="仿宋_GB2312"/>
                <w:color w:val="auto"/>
                <w:lang w:val="en-US" w:eastAsia="zh-CN"/>
              </w:rPr>
            </w:pPr>
            <w:r>
              <w:rPr>
                <w:rFonts w:hint="eastAsia" w:ascii="仿宋_GB2312" w:hAnsi="仿宋_GB2312" w:eastAsia="仿宋_GB2312" w:cs="仿宋_GB2312"/>
                <w:color w:val="auto"/>
                <w:lang w:val="en-US" w:eastAsia="zh-CN"/>
              </w:rPr>
              <w:t>青海规〔2024〕1号</w:t>
            </w:r>
          </w:p>
        </w:tc>
        <w:tc>
          <w:tcPr>
            <w:tcW w:w="1985" w:type="dxa"/>
            <w:vAlign w:val="center"/>
          </w:tcPr>
          <w:p>
            <w:pPr>
              <w:jc w:val="center"/>
              <w:rPr>
                <w:rFonts w:hint="eastAsia" w:ascii="仿宋_GB2312" w:hAnsi="仿宋_GB2312" w:eastAsia="仿宋_GB2312" w:cs="仿宋_GB2312"/>
                <w:color w:val="auto"/>
                <w:lang w:val="en-US" w:eastAsia="zh-CN"/>
              </w:rPr>
            </w:pPr>
            <w:r>
              <w:rPr>
                <w:rFonts w:hint="eastAsia" w:ascii="仿宋_GB2312" w:hAnsi="仿宋_GB2312" w:eastAsia="仿宋_GB2312" w:cs="仿宋_GB2312"/>
                <w:color w:val="auto"/>
                <w:lang w:val="en-US" w:eastAsia="zh-CN"/>
              </w:rPr>
              <w:t>2024年3月21日</w:t>
            </w:r>
          </w:p>
        </w:tc>
        <w:tc>
          <w:tcPr>
            <w:tcW w:w="2126" w:type="dxa"/>
            <w:vAlign w:val="center"/>
          </w:tcPr>
          <w:p>
            <w:pPr>
              <w:jc w:val="center"/>
              <w:rPr>
                <w:rFonts w:hint="eastAsia" w:ascii="仿宋_GB2312" w:hAnsi="仿宋_GB2312" w:eastAsia="仿宋_GB2312" w:cs="仿宋_GB2312"/>
                <w:color w:val="auto"/>
                <w:lang w:val="en-US" w:eastAsia="zh-CN"/>
              </w:rPr>
            </w:pPr>
            <w:r>
              <w:rPr>
                <w:rFonts w:hint="eastAsia" w:ascii="仿宋_GB2312" w:hAnsi="仿宋_GB2312" w:eastAsia="仿宋_GB2312" w:cs="仿宋_GB2312"/>
                <w:color w:val="auto"/>
                <w:lang w:val="en-US" w:eastAsia="zh-CN"/>
              </w:rPr>
              <w:t>QDCR-2024-0190001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907" w:type="dxa"/>
            <w:vAlign w:val="center"/>
          </w:tcPr>
          <w:p>
            <w:pPr>
              <w:jc w:val="center"/>
              <w:rPr>
                <w:rFonts w:hint="eastAsia" w:ascii="仿宋_GB2312" w:hAnsi="仿宋_GB2312" w:eastAsia="仿宋_GB2312" w:cs="仿宋_GB2312"/>
                <w:color w:val="auto"/>
                <w:highlight w:val="none"/>
                <w:lang w:val="en-US" w:eastAsia="zh-CN"/>
              </w:rPr>
            </w:pPr>
            <w:r>
              <w:rPr>
                <w:rFonts w:hint="eastAsia" w:ascii="仿宋_GB2312" w:hAnsi="仿宋_GB2312" w:eastAsia="仿宋_GB2312" w:cs="仿宋_GB2312"/>
                <w:color w:val="auto"/>
                <w:highlight w:val="none"/>
                <w:lang w:val="en-US" w:eastAsia="zh-CN"/>
              </w:rPr>
              <w:t>青岛市退役军人事务局</w:t>
            </w:r>
          </w:p>
        </w:tc>
        <w:tc>
          <w:tcPr>
            <w:tcW w:w="5714" w:type="dxa"/>
            <w:vAlign w:val="center"/>
          </w:tcPr>
          <w:p>
            <w:pPr>
              <w:jc w:val="center"/>
              <w:rPr>
                <w:rFonts w:hint="eastAsia" w:ascii="仿宋_GB2312" w:hAnsi="仿宋_GB2312" w:eastAsia="仿宋_GB2312" w:cs="仿宋_GB2312"/>
                <w:color w:val="auto"/>
                <w:highlight w:val="none"/>
                <w:lang w:val="en-US" w:eastAsia="zh-CN"/>
              </w:rPr>
            </w:pPr>
            <w:r>
              <w:rPr>
                <w:rFonts w:hint="eastAsia" w:ascii="仿宋_GB2312" w:hAnsi="仿宋_GB2312" w:eastAsia="仿宋_GB2312" w:cs="仿宋_GB2312"/>
                <w:color w:val="auto"/>
                <w:highlight w:val="none"/>
                <w:lang w:val="en-US" w:eastAsia="zh-CN"/>
              </w:rPr>
              <w:t>青岛市退役军人事务局 青岛市财政局关于印发《青岛市军队离休退休干部荣誉疗养办法》的通知</w:t>
            </w:r>
          </w:p>
        </w:tc>
        <w:tc>
          <w:tcPr>
            <w:tcW w:w="2268" w:type="dxa"/>
            <w:vAlign w:val="center"/>
          </w:tcPr>
          <w:p>
            <w:pPr>
              <w:jc w:val="center"/>
              <w:rPr>
                <w:rFonts w:hint="eastAsia" w:ascii="仿宋_GB2312" w:hAnsi="仿宋_GB2312" w:eastAsia="仿宋_GB2312" w:cs="仿宋_GB2312"/>
                <w:color w:val="auto"/>
                <w:highlight w:val="none"/>
                <w:lang w:val="en-US" w:eastAsia="zh-CN"/>
              </w:rPr>
            </w:pPr>
            <w:r>
              <w:rPr>
                <w:rFonts w:hint="eastAsia" w:ascii="仿宋_GB2312" w:hAnsi="仿宋_GB2312" w:eastAsia="仿宋_GB2312" w:cs="仿宋_GB2312"/>
                <w:color w:val="auto"/>
                <w:highlight w:val="none"/>
                <w:lang w:val="en-US" w:eastAsia="zh-CN"/>
              </w:rPr>
              <w:t>青退役军人规〔2024〕2号</w:t>
            </w:r>
          </w:p>
        </w:tc>
        <w:tc>
          <w:tcPr>
            <w:tcW w:w="1985" w:type="dxa"/>
            <w:vAlign w:val="center"/>
          </w:tcPr>
          <w:p>
            <w:pPr>
              <w:jc w:val="center"/>
              <w:rPr>
                <w:rFonts w:hint="eastAsia" w:ascii="仿宋_GB2312" w:hAnsi="仿宋_GB2312" w:eastAsia="仿宋_GB2312" w:cs="仿宋_GB2312"/>
                <w:color w:val="auto"/>
                <w:highlight w:val="none"/>
                <w:lang w:val="en-US" w:eastAsia="zh-CN"/>
              </w:rPr>
            </w:pPr>
            <w:r>
              <w:rPr>
                <w:rFonts w:hint="eastAsia" w:ascii="仿宋_GB2312" w:hAnsi="仿宋_GB2312" w:eastAsia="仿宋_GB2312" w:cs="仿宋_GB2312"/>
                <w:color w:val="auto"/>
                <w:highlight w:val="none"/>
                <w:lang w:val="en-US" w:eastAsia="zh-CN"/>
              </w:rPr>
              <w:t>2024年6月12日</w:t>
            </w:r>
          </w:p>
        </w:tc>
        <w:tc>
          <w:tcPr>
            <w:tcW w:w="2126" w:type="dxa"/>
            <w:vAlign w:val="center"/>
          </w:tcPr>
          <w:p>
            <w:pPr>
              <w:jc w:val="center"/>
              <w:rPr>
                <w:rFonts w:hint="eastAsia" w:ascii="仿宋_GB2312" w:hAnsi="仿宋_GB2312" w:eastAsia="仿宋_GB2312" w:cs="仿宋_GB2312"/>
                <w:color w:val="auto"/>
                <w:highlight w:val="none"/>
                <w:lang w:val="en-US" w:eastAsia="zh-CN"/>
              </w:rPr>
            </w:pPr>
            <w:r>
              <w:rPr>
                <w:rFonts w:hint="eastAsia" w:ascii="仿宋_GB2312" w:hAnsi="仿宋_GB2312" w:eastAsia="仿宋_GB2312" w:cs="仿宋_GB2312"/>
                <w:color w:val="auto"/>
                <w:highlight w:val="none"/>
                <w:lang w:val="en-US" w:eastAsia="zh-CN"/>
              </w:rPr>
              <w:t>QDCR-2024-0240002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907" w:type="dxa"/>
            <w:vAlign w:val="center"/>
          </w:tcPr>
          <w:p>
            <w:pPr>
              <w:jc w:val="center"/>
              <w:rPr>
                <w:rFonts w:hint="eastAsia" w:ascii="仿宋_GB2312" w:hAnsi="仿宋_GB2312" w:eastAsia="仿宋_GB2312" w:cs="仿宋_GB2312"/>
                <w:lang w:val="en-US" w:eastAsia="zh-CN"/>
              </w:rPr>
            </w:pPr>
            <w:r>
              <w:rPr>
                <w:rFonts w:hint="eastAsia" w:ascii="仿宋_GB2312" w:hAnsi="仿宋_GB2312" w:eastAsia="仿宋_GB2312" w:cs="仿宋_GB2312"/>
                <w:lang w:val="en-US" w:eastAsia="zh-CN"/>
              </w:rPr>
              <w:t>青岛市体育局</w:t>
            </w:r>
          </w:p>
        </w:tc>
        <w:tc>
          <w:tcPr>
            <w:tcW w:w="5714" w:type="dxa"/>
            <w:vAlign w:val="center"/>
          </w:tcPr>
          <w:p>
            <w:pPr>
              <w:jc w:val="center"/>
              <w:rPr>
                <w:rFonts w:hint="eastAsia" w:ascii="仿宋_GB2312" w:hAnsi="仿宋_GB2312" w:eastAsia="仿宋_GB2312" w:cs="仿宋_GB2312"/>
                <w:lang w:val="en-US" w:eastAsia="zh-CN"/>
              </w:rPr>
            </w:pPr>
            <w:r>
              <w:rPr>
                <w:rFonts w:hint="eastAsia" w:ascii="仿宋_GB2312" w:hAnsi="仿宋_GB2312" w:eastAsia="仿宋_GB2312" w:cs="仿宋_GB2312"/>
                <w:lang w:val="en-US" w:eastAsia="zh-CN"/>
              </w:rPr>
              <w:t>青岛市体育局关于印发《青岛市体育局海上旅游运动船艇行政处罚裁量基准》的通知</w:t>
            </w:r>
            <w:bookmarkStart w:id="1" w:name="_GoBack"/>
            <w:bookmarkEnd w:id="1"/>
          </w:p>
        </w:tc>
        <w:tc>
          <w:tcPr>
            <w:tcW w:w="2268" w:type="dxa"/>
            <w:vAlign w:val="center"/>
          </w:tcPr>
          <w:p>
            <w:pPr>
              <w:jc w:val="center"/>
              <w:rPr>
                <w:rFonts w:hint="eastAsia" w:ascii="仿宋_GB2312" w:hAnsi="仿宋_GB2312" w:eastAsia="仿宋_GB2312" w:cs="仿宋_GB2312"/>
                <w:lang w:val="en-US" w:eastAsia="zh-CN"/>
              </w:rPr>
            </w:pPr>
            <w:r>
              <w:rPr>
                <w:rFonts w:hint="eastAsia" w:ascii="仿宋_GB2312" w:hAnsi="仿宋_GB2312" w:eastAsia="仿宋_GB2312" w:cs="仿宋_GB2312"/>
                <w:lang w:val="en-US" w:eastAsia="zh-CN"/>
              </w:rPr>
              <w:t>青体规字〔2024〕2号</w:t>
            </w:r>
          </w:p>
        </w:tc>
        <w:tc>
          <w:tcPr>
            <w:tcW w:w="1985" w:type="dxa"/>
            <w:vAlign w:val="center"/>
          </w:tcPr>
          <w:p>
            <w:pPr>
              <w:jc w:val="center"/>
              <w:rPr>
                <w:rFonts w:hint="eastAsia" w:ascii="仿宋_GB2312" w:hAnsi="仿宋_GB2312" w:eastAsia="仿宋_GB2312" w:cs="仿宋_GB2312"/>
                <w:lang w:val="en-US" w:eastAsia="zh-CN"/>
              </w:rPr>
            </w:pPr>
            <w:r>
              <w:rPr>
                <w:rFonts w:hint="eastAsia" w:ascii="仿宋_GB2312" w:hAnsi="仿宋_GB2312" w:eastAsia="仿宋_GB2312" w:cs="仿宋_GB2312"/>
                <w:lang w:val="en-US" w:eastAsia="zh-CN"/>
              </w:rPr>
              <w:t>2024年4月30日</w:t>
            </w:r>
          </w:p>
        </w:tc>
        <w:tc>
          <w:tcPr>
            <w:tcW w:w="2126" w:type="dxa"/>
            <w:vAlign w:val="center"/>
          </w:tcPr>
          <w:p>
            <w:pPr>
              <w:jc w:val="center"/>
              <w:rPr>
                <w:rFonts w:hint="eastAsia" w:ascii="仿宋_GB2312" w:hAnsi="仿宋_GB2312" w:eastAsia="仿宋_GB2312" w:cs="仿宋_GB2312"/>
                <w:lang w:val="en-US" w:eastAsia="zh-CN"/>
              </w:rPr>
            </w:pPr>
            <w:r>
              <w:rPr>
                <w:rFonts w:hint="eastAsia" w:ascii="仿宋_GB2312" w:hAnsi="仿宋_GB2312" w:eastAsia="仿宋_GB2312" w:cs="仿宋_GB2312"/>
                <w:lang w:val="en-US" w:eastAsia="zh-CN"/>
              </w:rPr>
              <w:t>QDCR-2024-0300002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907" w:type="dxa"/>
            <w:vAlign w:val="center"/>
          </w:tcPr>
          <w:p>
            <w:pPr>
              <w:jc w:val="center"/>
              <w:rPr>
                <w:rFonts w:hint="eastAsia" w:ascii="仿宋_GB2312" w:hAnsi="仿宋_GB2312" w:eastAsia="仿宋_GB2312" w:cs="仿宋_GB2312"/>
                <w:lang w:val="en-US" w:eastAsia="zh-CN"/>
              </w:rPr>
            </w:pPr>
            <w:r>
              <w:rPr>
                <w:rFonts w:hint="eastAsia" w:ascii="仿宋_GB2312" w:hAnsi="仿宋_GB2312" w:eastAsia="仿宋_GB2312" w:cs="仿宋_GB2312"/>
                <w:lang w:val="en-US" w:eastAsia="zh-CN"/>
              </w:rPr>
              <w:t>青岛市国防动员办公室</w:t>
            </w:r>
          </w:p>
        </w:tc>
        <w:tc>
          <w:tcPr>
            <w:tcW w:w="5714" w:type="dxa"/>
            <w:vAlign w:val="center"/>
          </w:tcPr>
          <w:p>
            <w:pPr>
              <w:jc w:val="center"/>
              <w:rPr>
                <w:rFonts w:hint="eastAsia" w:ascii="仿宋_GB2312" w:hAnsi="仿宋_GB2312" w:eastAsia="仿宋_GB2312" w:cs="仿宋_GB2312"/>
                <w:lang w:val="en-US" w:eastAsia="zh-CN"/>
              </w:rPr>
            </w:pPr>
            <w:r>
              <w:rPr>
                <w:rFonts w:hint="eastAsia" w:ascii="仿宋_GB2312" w:hAnsi="仿宋_GB2312" w:eastAsia="仿宋_GB2312" w:cs="仿宋_GB2312"/>
                <w:lang w:val="en-US" w:eastAsia="zh-CN"/>
              </w:rPr>
              <w:t>青岛市国防动员办公室关于进一步规范和加强防空地下室维护管理工作的意见</w:t>
            </w:r>
          </w:p>
        </w:tc>
        <w:tc>
          <w:tcPr>
            <w:tcW w:w="2268" w:type="dxa"/>
            <w:vAlign w:val="center"/>
          </w:tcPr>
          <w:p>
            <w:pPr>
              <w:jc w:val="center"/>
              <w:rPr>
                <w:rFonts w:hint="eastAsia" w:ascii="仿宋_GB2312" w:hAnsi="仿宋_GB2312" w:eastAsia="仿宋_GB2312" w:cs="仿宋_GB2312"/>
                <w:lang w:val="en-US" w:eastAsia="zh-CN"/>
              </w:rPr>
            </w:pPr>
            <w:r>
              <w:rPr>
                <w:rFonts w:hint="eastAsia" w:ascii="仿宋_GB2312" w:hAnsi="仿宋_GB2312" w:eastAsia="仿宋_GB2312" w:cs="仿宋_GB2312"/>
                <w:lang w:val="en-US" w:eastAsia="zh-CN"/>
              </w:rPr>
              <w:t>青国动办规〔2024〕1号</w:t>
            </w:r>
          </w:p>
        </w:tc>
        <w:tc>
          <w:tcPr>
            <w:tcW w:w="1985" w:type="dxa"/>
            <w:vAlign w:val="center"/>
          </w:tcPr>
          <w:p>
            <w:pPr>
              <w:jc w:val="center"/>
              <w:rPr>
                <w:rFonts w:hint="eastAsia" w:ascii="仿宋_GB2312" w:hAnsi="仿宋_GB2312" w:eastAsia="仿宋_GB2312" w:cs="仿宋_GB2312"/>
                <w:lang w:val="en-US" w:eastAsia="zh-CN"/>
              </w:rPr>
            </w:pPr>
            <w:r>
              <w:rPr>
                <w:rFonts w:hint="eastAsia" w:ascii="仿宋_GB2312" w:hAnsi="仿宋_GB2312" w:eastAsia="仿宋_GB2312" w:cs="仿宋_GB2312"/>
                <w:lang w:val="en-US" w:eastAsia="zh-CN"/>
              </w:rPr>
              <w:t>2024年4月8日</w:t>
            </w:r>
          </w:p>
        </w:tc>
        <w:tc>
          <w:tcPr>
            <w:tcW w:w="2126" w:type="dxa"/>
            <w:vAlign w:val="center"/>
          </w:tcPr>
          <w:p>
            <w:pPr>
              <w:jc w:val="center"/>
              <w:rPr>
                <w:rFonts w:hint="eastAsia" w:ascii="仿宋_GB2312" w:hAnsi="仿宋_GB2312" w:eastAsia="仿宋_GB2312" w:cs="仿宋_GB2312"/>
                <w:lang w:val="en-US" w:eastAsia="zh-CN"/>
              </w:rPr>
            </w:pPr>
            <w:r>
              <w:rPr>
                <w:rFonts w:hint="eastAsia" w:ascii="仿宋_GB2312" w:hAnsi="仿宋_GB2312" w:eastAsia="仿宋_GB2312" w:cs="仿宋_GB2312"/>
                <w:lang w:val="en-US" w:eastAsia="zh-CN"/>
              </w:rPr>
              <w:t>QDCR-2024-0330001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907" w:type="dxa"/>
            <w:vAlign w:val="center"/>
          </w:tcPr>
          <w:p>
            <w:pPr>
              <w:jc w:val="center"/>
              <w:rPr>
                <w:rFonts w:hint="eastAsia" w:ascii="仿宋_GB2312" w:hAnsi="仿宋_GB2312" w:eastAsia="仿宋_GB2312" w:cs="仿宋_GB2312"/>
                <w:lang w:val="en-US" w:eastAsia="zh-CN"/>
              </w:rPr>
            </w:pPr>
            <w:r>
              <w:rPr>
                <w:rFonts w:hint="eastAsia" w:ascii="仿宋_GB2312" w:hAnsi="仿宋_GB2312" w:eastAsia="仿宋_GB2312" w:cs="仿宋_GB2312"/>
                <w:lang w:val="en-US" w:eastAsia="zh-CN"/>
              </w:rPr>
              <w:t>青岛市住房公积金管理中心</w:t>
            </w:r>
          </w:p>
        </w:tc>
        <w:tc>
          <w:tcPr>
            <w:tcW w:w="5714" w:type="dxa"/>
            <w:vAlign w:val="center"/>
          </w:tcPr>
          <w:p>
            <w:pPr>
              <w:jc w:val="center"/>
              <w:rPr>
                <w:rFonts w:hint="eastAsia" w:ascii="仿宋_GB2312" w:hAnsi="仿宋_GB2312" w:eastAsia="仿宋_GB2312" w:cs="仿宋_GB2312"/>
                <w:lang w:val="en-US" w:eastAsia="zh-CN"/>
              </w:rPr>
            </w:pPr>
            <w:r>
              <w:rPr>
                <w:rFonts w:hint="eastAsia" w:ascii="仿宋_GB2312" w:hAnsi="仿宋_GB2312" w:eastAsia="仿宋_GB2312" w:cs="仿宋_GB2312"/>
                <w:lang w:val="en-US" w:eastAsia="zh-CN"/>
              </w:rPr>
              <w:t>青岛市住房公积金管理中心关于印发《青岛市住房公积金缴存管理办法》的通知</w:t>
            </w:r>
          </w:p>
        </w:tc>
        <w:tc>
          <w:tcPr>
            <w:tcW w:w="2268" w:type="dxa"/>
            <w:vAlign w:val="center"/>
          </w:tcPr>
          <w:p>
            <w:pPr>
              <w:jc w:val="center"/>
              <w:rPr>
                <w:rFonts w:hint="eastAsia" w:ascii="仿宋_GB2312" w:hAnsi="仿宋_GB2312" w:eastAsia="仿宋_GB2312" w:cs="仿宋_GB2312"/>
                <w:lang w:val="en-US" w:eastAsia="zh-CN"/>
              </w:rPr>
            </w:pPr>
            <w:r>
              <w:rPr>
                <w:rFonts w:hint="eastAsia" w:ascii="仿宋_GB2312" w:hAnsi="仿宋_GB2312" w:eastAsia="仿宋_GB2312" w:cs="仿宋_GB2312"/>
                <w:lang w:val="en-US" w:eastAsia="zh-CN"/>
              </w:rPr>
              <w:t>青住金规〔2024〕1号</w:t>
            </w:r>
          </w:p>
        </w:tc>
        <w:tc>
          <w:tcPr>
            <w:tcW w:w="1985" w:type="dxa"/>
            <w:vAlign w:val="center"/>
          </w:tcPr>
          <w:p>
            <w:pPr>
              <w:jc w:val="center"/>
              <w:rPr>
                <w:rFonts w:hint="eastAsia" w:ascii="仿宋_GB2312" w:hAnsi="仿宋_GB2312" w:eastAsia="仿宋_GB2312" w:cs="仿宋_GB2312"/>
                <w:lang w:val="en-US" w:eastAsia="zh-CN"/>
              </w:rPr>
            </w:pPr>
            <w:r>
              <w:rPr>
                <w:rFonts w:hint="eastAsia" w:ascii="仿宋_GB2312" w:hAnsi="仿宋_GB2312" w:eastAsia="仿宋_GB2312" w:cs="仿宋_GB2312"/>
                <w:lang w:val="en-US" w:eastAsia="zh-CN"/>
              </w:rPr>
              <w:t>2024年4月26日</w:t>
            </w:r>
          </w:p>
        </w:tc>
        <w:tc>
          <w:tcPr>
            <w:tcW w:w="2126" w:type="dxa"/>
            <w:vAlign w:val="center"/>
          </w:tcPr>
          <w:p>
            <w:pPr>
              <w:jc w:val="center"/>
              <w:rPr>
                <w:rFonts w:hint="eastAsia" w:ascii="仿宋_GB2312" w:hAnsi="仿宋_GB2312" w:eastAsia="仿宋_GB2312" w:cs="仿宋_GB2312"/>
                <w:lang w:val="en-US" w:eastAsia="zh-CN"/>
              </w:rPr>
            </w:pPr>
            <w:r>
              <w:rPr>
                <w:rFonts w:hint="eastAsia" w:ascii="仿宋_GB2312" w:hAnsi="仿宋_GB2312" w:eastAsia="仿宋_GB2312" w:cs="仿宋_GB2312"/>
                <w:lang w:val="en-US" w:eastAsia="zh-CN"/>
              </w:rPr>
              <w:t>QDCR-2024-0430001</w:t>
            </w:r>
          </w:p>
        </w:tc>
      </w:tr>
    </w:tbl>
    <w:p>
      <w:r>
        <w:rPr>
          <w:rFonts w:ascii="黑体" w:eastAsia="黑体"/>
          <w:color w:val="FF0000"/>
          <w:sz w:val="32"/>
          <w:szCs w:val="32"/>
        </w:rPr>
        <w:br w:type="page"/>
      </w:r>
    </w:p>
    <w:sectPr>
      <w:footerReference r:id="rId4" w:type="default"/>
      <w:footerReference r:id="rId5" w:type="even"/>
      <w:pgSz w:w="16838" w:h="11906" w:orient="landscape"/>
      <w:pgMar w:top="1797" w:right="1440" w:bottom="1797" w:left="1440"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DejaVu Sans">
    <w:panose1 w:val="020B0603030804020204"/>
    <w:charset w:val="00"/>
    <w:family w:val="roman"/>
    <w:pitch w:val="default"/>
    <w:sig w:usb0="E7006EFF" w:usb1="D200FDFF" w:usb2="0A246029" w:usb3="0400200C" w:csb0="600001FF" w:csb1="DFFF0000"/>
  </w:font>
  <w:font w:name="方正书宋_GBK">
    <w:altName w:val="方正宋体S-超大字符集"/>
    <w:panose1 w:val="02000000000000000000"/>
    <w:charset w:val="86"/>
    <w:family w:val="auto"/>
    <w:pitch w:val="default"/>
    <w:sig w:usb0="00000001" w:usb1="08000000" w:usb2="00000000" w:usb3="00000000" w:csb0="00040000" w:csb1="00000000"/>
  </w:font>
  <w:font w:name="方正黑体_GBK">
    <w:altName w:val="思源黑体 CN"/>
    <w:panose1 w:val="02000000000000000000"/>
    <w:charset w:val="00"/>
    <w:family w:val="auto"/>
    <w:pitch w:val="default"/>
    <w:sig w:usb0="00000001" w:usb1="08000000" w:usb2="00000000" w:usb3="00000000" w:csb0="00040000" w:csb1="00000000"/>
  </w:font>
  <w:font w:name="Calibri">
    <w:altName w:val="DejaVu Sans"/>
    <w:panose1 w:val="020F0502020204030204"/>
    <w:charset w:val="00"/>
    <w:family w:val="swiss"/>
    <w:pitch w:val="default"/>
    <w:sig w:usb0="00000000" w:usb1="00000000" w:usb2="00000001" w:usb3="00000000" w:csb0="0000019F" w:csb1="00000000"/>
  </w:font>
  <w:font w:name="方正宋体S-超大字符集">
    <w:panose1 w:val="02000000000000000000"/>
    <w:charset w:val="86"/>
    <w:family w:val="auto"/>
    <w:pitch w:val="default"/>
    <w:sig w:usb0="00000001" w:usb1="08000000" w:usb2="00000000" w:usb3="00000000" w:csb0="00040000" w:csb1="00000000"/>
  </w:font>
  <w:font w:name="思源黑体 CN">
    <w:panose1 w:val="020B0600000000000000"/>
    <w:charset w:val="86"/>
    <w:family w:val="auto"/>
    <w:pitch w:val="default"/>
    <w:sig w:usb0="20000003" w:usb1="2ADF3C10" w:usb2="00000016" w:usb3="00000000" w:csb0="60060107" w:csb1="00000000"/>
  </w:font>
  <w:font w:name="仿宋_GB2312">
    <w:panose1 w:val="02010609030101010101"/>
    <w:charset w:val="86"/>
    <w:family w:val="modern"/>
    <w:pitch w:val="default"/>
    <w:sig w:usb0="00000001" w:usb1="080E0000" w:usb2="00000000" w:usb3="00000000" w:csb0="00040000" w:csb1="00000000"/>
  </w:font>
  <w:font w:name="文星标宋">
    <w:panose1 w:val="02010604000101010101"/>
    <w:charset w:val="86"/>
    <w:family w:val="modern"/>
    <w:pitch w:val="default"/>
    <w:sig w:usb0="00000001" w:usb1="080E0000" w:usb2="00000000" w:usb3="00000000" w:csb0="00040001" w:csb1="00000000"/>
  </w:font>
  <w:font w:name="方正小标宋_GBK">
    <w:panose1 w:val="03000502000000000000"/>
    <w:charset w:val="86"/>
    <w:family w:val="script"/>
    <w:pitch w:val="default"/>
    <w:sig w:usb0="00000001" w:usb1="080E0000" w:usb2="00000000" w:usb3="00000000" w:csb0="00040000" w:csb1="00000000"/>
  </w:font>
  <w:font w:name="黑体">
    <w:panose1 w:val="02010609060101010101"/>
    <w:charset w:val="86"/>
    <w:family w:val="modern"/>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jc w:val="center"/>
      <w:rPr>
        <w:rFonts w:ascii="宋体" w:hAnsi="宋体"/>
        <w:sz w:val="28"/>
        <w:szCs w:val="28"/>
      </w:rPr>
    </w:pPr>
    <w:r>
      <w:rPr>
        <w:rFonts w:hint="eastAsia" w:ascii="宋体" w:hAnsi="宋体"/>
        <w:sz w:val="28"/>
        <w:szCs w:val="28"/>
      </w:rPr>
      <w:t>1</w: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jc w:val="center"/>
      <w:rPr>
        <w:rFonts w:ascii="宋体" w:hAnsi="宋体"/>
        <w:sz w:val="28"/>
        <w:szCs w:val="28"/>
      </w:rPr>
    </w:pPr>
    <w:r>
      <w:rPr>
        <w:rFonts w:ascii="宋体" w:hAnsi="宋体"/>
        <w:sz w:val="28"/>
        <w:szCs w:val="28"/>
      </w:rPr>
      <w:fldChar w:fldCharType="begin"/>
    </w:r>
    <w:r>
      <w:rPr>
        <w:rFonts w:ascii="宋体" w:hAnsi="宋体"/>
        <w:sz w:val="28"/>
        <w:szCs w:val="28"/>
      </w:rPr>
      <w:instrText xml:space="preserve">PAGE   \* MERGEFORMAT</w:instrText>
    </w:r>
    <w:r>
      <w:rPr>
        <w:rFonts w:ascii="宋体" w:hAnsi="宋体"/>
        <w:sz w:val="28"/>
        <w:szCs w:val="28"/>
      </w:rPr>
      <w:fldChar w:fldCharType="separate"/>
    </w:r>
    <w:r>
      <w:rPr>
        <w:rFonts w:ascii="宋体" w:hAnsi="宋体"/>
        <w:sz w:val="28"/>
        <w:szCs w:val="28"/>
        <w:lang w:val="zh-CN"/>
      </w:rPr>
      <w:t>4</w:t>
    </w:r>
    <w:r>
      <w:rPr>
        <w:rFonts w:ascii="宋体" w:hAnsi="宋体"/>
        <w:sz w:val="28"/>
        <w:szCs w:val="28"/>
      </w:rPr>
      <w:fldChar w:fldCharType="end"/>
    </w:r>
  </w:p>
  <w:p>
    <w:pPr>
      <w:pStyle w:val="3"/>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framePr w:wrap="around" w:vAnchor="text" w:hAnchor="margin" w:xAlign="center" w:y="1"/>
      <w:rPr>
        <w:rStyle w:val="7"/>
      </w:rPr>
    </w:pPr>
    <w:r>
      <w:fldChar w:fldCharType="begin"/>
    </w:r>
    <w:r>
      <w:rPr>
        <w:rStyle w:val="7"/>
      </w:rPr>
      <w:instrText xml:space="preserve">PAGE  </w:instrText>
    </w:r>
    <w:r>
      <w:fldChar w:fldCharType="separate"/>
    </w:r>
    <w:r>
      <w:rPr>
        <w:rStyle w:val="7"/>
      </w:rPr>
      <w:t>1</w:t>
    </w:r>
    <w:r>
      <w:fldChar w:fldCharType="end"/>
    </w:r>
  </w:p>
  <w:p>
    <w:pPr>
      <w:pStyle w:val="3"/>
    </w:pP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2"/>
  </w:compat>
  <w:rsids>
    <w:rsidRoot w:val="00376148"/>
    <w:rsid w:val="00001483"/>
    <w:rsid w:val="00001CA0"/>
    <w:rsid w:val="000048F8"/>
    <w:rsid w:val="00017096"/>
    <w:rsid w:val="00052AC1"/>
    <w:rsid w:val="00133B90"/>
    <w:rsid w:val="001555E4"/>
    <w:rsid w:val="0025033A"/>
    <w:rsid w:val="00252029"/>
    <w:rsid w:val="00264E7D"/>
    <w:rsid w:val="002846A2"/>
    <w:rsid w:val="0028632C"/>
    <w:rsid w:val="002F513B"/>
    <w:rsid w:val="003421E4"/>
    <w:rsid w:val="00376148"/>
    <w:rsid w:val="00383378"/>
    <w:rsid w:val="00394494"/>
    <w:rsid w:val="003B4F76"/>
    <w:rsid w:val="003F0DE9"/>
    <w:rsid w:val="0041345A"/>
    <w:rsid w:val="00441775"/>
    <w:rsid w:val="004853BE"/>
    <w:rsid w:val="00487AA3"/>
    <w:rsid w:val="004D668A"/>
    <w:rsid w:val="004E1DD1"/>
    <w:rsid w:val="005631E1"/>
    <w:rsid w:val="005D60EA"/>
    <w:rsid w:val="005E2B45"/>
    <w:rsid w:val="005F0517"/>
    <w:rsid w:val="006116C9"/>
    <w:rsid w:val="0064213C"/>
    <w:rsid w:val="006D253F"/>
    <w:rsid w:val="00752AB0"/>
    <w:rsid w:val="007A204A"/>
    <w:rsid w:val="007C547F"/>
    <w:rsid w:val="007C62E2"/>
    <w:rsid w:val="007E0912"/>
    <w:rsid w:val="00885EAB"/>
    <w:rsid w:val="0089320D"/>
    <w:rsid w:val="00893CA1"/>
    <w:rsid w:val="008A6BAB"/>
    <w:rsid w:val="008E7A0F"/>
    <w:rsid w:val="00904649"/>
    <w:rsid w:val="009160F1"/>
    <w:rsid w:val="00955DFC"/>
    <w:rsid w:val="009C650D"/>
    <w:rsid w:val="009D7436"/>
    <w:rsid w:val="009E3C65"/>
    <w:rsid w:val="00A32BDF"/>
    <w:rsid w:val="00A83EEE"/>
    <w:rsid w:val="00AD1C60"/>
    <w:rsid w:val="00B76C7E"/>
    <w:rsid w:val="00BB6C0F"/>
    <w:rsid w:val="00C17655"/>
    <w:rsid w:val="00C35FB7"/>
    <w:rsid w:val="00C755CA"/>
    <w:rsid w:val="00D1601D"/>
    <w:rsid w:val="00D418CF"/>
    <w:rsid w:val="00D56B94"/>
    <w:rsid w:val="00D615FF"/>
    <w:rsid w:val="00E24402"/>
    <w:rsid w:val="00F3201C"/>
    <w:rsid w:val="00F3598C"/>
    <w:rsid w:val="00F92ED6"/>
    <w:rsid w:val="00F94711"/>
    <w:rsid w:val="00FD33E3"/>
    <w:rsid w:val="2EDC12E7"/>
    <w:rsid w:val="3D5FEE89"/>
    <w:rsid w:val="3DFEB2ED"/>
    <w:rsid w:val="3F5E76E5"/>
    <w:rsid w:val="3F67323F"/>
    <w:rsid w:val="45E7D778"/>
    <w:rsid w:val="46FAB4A8"/>
    <w:rsid w:val="47F6F203"/>
    <w:rsid w:val="49FB5A4D"/>
    <w:rsid w:val="55FB0772"/>
    <w:rsid w:val="57EF39F4"/>
    <w:rsid w:val="59FD3179"/>
    <w:rsid w:val="5BBACFC6"/>
    <w:rsid w:val="5BF72C60"/>
    <w:rsid w:val="5F1BB824"/>
    <w:rsid w:val="5FFFB1EC"/>
    <w:rsid w:val="63FF007E"/>
    <w:rsid w:val="679F564B"/>
    <w:rsid w:val="6DFB096E"/>
    <w:rsid w:val="6F6FC0C3"/>
    <w:rsid w:val="6FFFE6EF"/>
    <w:rsid w:val="72D75400"/>
    <w:rsid w:val="771FBA30"/>
    <w:rsid w:val="77BE3DA4"/>
    <w:rsid w:val="7A7E447D"/>
    <w:rsid w:val="7A974D0E"/>
    <w:rsid w:val="7F177954"/>
    <w:rsid w:val="7F3F0053"/>
    <w:rsid w:val="8D992C3B"/>
    <w:rsid w:val="9DFF21D1"/>
    <w:rsid w:val="9FDF542D"/>
    <w:rsid w:val="A75B18C4"/>
    <w:rsid w:val="B17B27E3"/>
    <w:rsid w:val="BBFF421A"/>
    <w:rsid w:val="BC5B7FFA"/>
    <w:rsid w:val="BFFB29EF"/>
    <w:rsid w:val="C6FE08D6"/>
    <w:rsid w:val="D7F34F57"/>
    <w:rsid w:val="D9F7B102"/>
    <w:rsid w:val="DF4BDDE8"/>
    <w:rsid w:val="DFFAB856"/>
    <w:rsid w:val="E6FF7CC9"/>
    <w:rsid w:val="EAFE9CA6"/>
    <w:rsid w:val="F3F44899"/>
    <w:rsid w:val="F78A30D3"/>
    <w:rsid w:val="F7C0669F"/>
    <w:rsid w:val="FA7F9D88"/>
    <w:rsid w:val="FBBB7F5C"/>
    <w:rsid w:val="FCFB075A"/>
    <w:rsid w:val="FFEF838B"/>
    <w:rsid w:val="FFF935A1"/>
    <w:rsid w:val="FFFBCC0F"/>
    <w:rsid w:val="FFFF616F"/>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name="header"/>
    <w:lsdException w:qFormat="1" w:unhideWhenUsed="0"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qFormat="1" w:unhideWhenUsed="0" w:uiPriority="0" w:semiHidden="0"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qFormat="1" w:uiPriority="99"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6">
    <w:name w:val="Default Paragraph Font"/>
    <w:semiHidden/>
    <w:unhideWhenUsed/>
    <w:qFormat/>
    <w:uiPriority w:val="1"/>
  </w:style>
  <w:style w:type="table" w:default="1" w:styleId="8">
    <w:name w:val="Normal Table"/>
    <w:semiHidden/>
    <w:unhideWhenUsed/>
    <w:qFormat/>
    <w:uiPriority w:val="99"/>
    <w:tblPr>
      <w:tblLayout w:type="fixed"/>
      <w:tblCellMar>
        <w:top w:w="0" w:type="dxa"/>
        <w:left w:w="108" w:type="dxa"/>
        <w:bottom w:w="0" w:type="dxa"/>
        <w:right w:w="108" w:type="dxa"/>
      </w:tblCellMar>
    </w:tblPr>
  </w:style>
  <w:style w:type="paragraph" w:styleId="2">
    <w:name w:val="Balloon Text"/>
    <w:basedOn w:val="1"/>
    <w:link w:val="11"/>
    <w:semiHidden/>
    <w:unhideWhenUsed/>
    <w:qFormat/>
    <w:uiPriority w:val="99"/>
    <w:rPr>
      <w:sz w:val="18"/>
      <w:szCs w:val="18"/>
    </w:rPr>
  </w:style>
  <w:style w:type="paragraph" w:styleId="3">
    <w:name w:val="footer"/>
    <w:basedOn w:val="1"/>
    <w:link w:val="9"/>
    <w:qFormat/>
    <w:uiPriority w:val="99"/>
    <w:pPr>
      <w:tabs>
        <w:tab w:val="center" w:pos="4153"/>
        <w:tab w:val="right" w:pos="8306"/>
      </w:tabs>
      <w:snapToGrid w:val="0"/>
      <w:jc w:val="left"/>
    </w:pPr>
    <w:rPr>
      <w:sz w:val="18"/>
      <w:szCs w:val="18"/>
    </w:rPr>
  </w:style>
  <w:style w:type="paragraph" w:styleId="4">
    <w:name w:val="header"/>
    <w:basedOn w:val="1"/>
    <w:link w:val="12"/>
    <w:semiHidden/>
    <w:unhideWhenUsed/>
    <w:qFormat/>
    <w:uiPriority w:val="99"/>
    <w:pPr>
      <w:pBdr>
        <w:bottom w:val="single" w:color="auto" w:sz="6" w:space="1"/>
      </w:pBdr>
      <w:tabs>
        <w:tab w:val="center" w:pos="4153"/>
        <w:tab w:val="right" w:pos="8306"/>
      </w:tabs>
      <w:snapToGrid w:val="0"/>
      <w:jc w:val="center"/>
    </w:pPr>
    <w:rPr>
      <w:sz w:val="18"/>
      <w:szCs w:val="18"/>
    </w:rPr>
  </w:style>
  <w:style w:type="paragraph" w:styleId="5">
    <w:name w:val="Normal (Web)"/>
    <w:basedOn w:val="1"/>
    <w:unhideWhenUsed/>
    <w:qFormat/>
    <w:uiPriority w:val="99"/>
    <w:pPr>
      <w:spacing w:before="100" w:beforeAutospacing="1" w:after="100" w:afterAutospacing="1"/>
      <w:jc w:val="left"/>
    </w:pPr>
    <w:rPr>
      <w:rFonts w:eastAsia="仿宋_GB2312"/>
      <w:kern w:val="0"/>
      <w:sz w:val="24"/>
    </w:rPr>
  </w:style>
  <w:style w:type="character" w:styleId="7">
    <w:name w:val="page number"/>
    <w:basedOn w:val="6"/>
    <w:qFormat/>
    <w:uiPriority w:val="0"/>
  </w:style>
  <w:style w:type="character" w:customStyle="1" w:styleId="9">
    <w:name w:val="页脚 Char"/>
    <w:basedOn w:val="6"/>
    <w:link w:val="3"/>
    <w:qFormat/>
    <w:uiPriority w:val="99"/>
    <w:rPr>
      <w:rFonts w:ascii="Times New Roman" w:hAnsi="Times New Roman" w:eastAsia="宋体" w:cs="Times New Roman"/>
      <w:sz w:val="18"/>
      <w:szCs w:val="18"/>
    </w:rPr>
  </w:style>
  <w:style w:type="paragraph" w:customStyle="1" w:styleId="10">
    <w:name w:val="p15"/>
    <w:basedOn w:val="1"/>
    <w:qFormat/>
    <w:uiPriority w:val="0"/>
    <w:pPr>
      <w:widowControl/>
    </w:pPr>
    <w:rPr>
      <w:kern w:val="0"/>
      <w:sz w:val="28"/>
      <w:szCs w:val="28"/>
    </w:rPr>
  </w:style>
  <w:style w:type="character" w:customStyle="1" w:styleId="11">
    <w:name w:val="批注框文本 Char"/>
    <w:basedOn w:val="6"/>
    <w:link w:val="2"/>
    <w:semiHidden/>
    <w:qFormat/>
    <w:uiPriority w:val="99"/>
    <w:rPr>
      <w:rFonts w:ascii="Times New Roman" w:hAnsi="Times New Roman" w:eastAsia="宋体" w:cs="Times New Roman"/>
      <w:sz w:val="18"/>
      <w:szCs w:val="18"/>
    </w:rPr>
  </w:style>
  <w:style w:type="character" w:customStyle="1" w:styleId="12">
    <w:name w:val="页眉 Char"/>
    <w:basedOn w:val="6"/>
    <w:link w:val="4"/>
    <w:semiHidden/>
    <w:qFormat/>
    <w:uiPriority w:val="99"/>
    <w:rPr>
      <w:rFonts w:ascii="Times New Roman" w:hAnsi="Times New Roman" w:eastAsia="宋体" w:cs="Times New Roman"/>
      <w:sz w:val="18"/>
      <w:szCs w:val="18"/>
    </w:rPr>
  </w:style>
  <w:style w:type="character" w:customStyle="1" w:styleId="13">
    <w:name w:val="15"/>
    <w:basedOn w:val="6"/>
    <w:qFormat/>
    <w:uiPriority w:val="0"/>
    <w:rPr>
      <w:rFonts w:hint="default" w:ascii="Times New Roman" w:hAnsi="Times New Roman" w:cs="Times New Roman"/>
      <w:b/>
    </w:rPr>
  </w:style>
</w:styles>
</file>

<file path=word/_rels/document.xml.rels><?xml version="1.0" encoding="UTF-8" standalone="yes"?>
<Relationships xmlns="http://schemas.openxmlformats.org/package/2006/relationships"><Relationship Id="rId9" Type="http://schemas.openxmlformats.org/officeDocument/2006/relationships/fontTable" Target="fontTable.xml"/><Relationship Id="rId8" Type="http://schemas.openxmlformats.org/officeDocument/2006/relationships/customXml" Target="../customXml/item1.xml"/><Relationship Id="rId7" Type="http://schemas.openxmlformats.org/officeDocument/2006/relationships/image" Target="media/image1.png"/><Relationship Id="rId6" Type="http://schemas.openxmlformats.org/officeDocument/2006/relationships/theme" Target="theme/theme1.xml"/><Relationship Id="rId5" Type="http://schemas.openxmlformats.org/officeDocument/2006/relationships/footer" Target="footer3.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8FAFD"/>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4</Pages>
  <Words>237</Words>
  <Characters>1354</Characters>
  <Lines>11</Lines>
  <Paragraphs>3</Paragraphs>
  <TotalTime>212</TotalTime>
  <ScaleCrop>false</ScaleCrop>
  <LinksUpToDate>false</LinksUpToDate>
  <CharactersWithSpaces>1588</CharactersWithSpaces>
  <Application>WPS Office_10.8.0.7178_F1E327BC-269C-435d-A152-05C5408002CA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2023-10-16T17:46:00Z</dcterms:created>
  <dc:creator>窦 治民</dc:creator>
  <cp:lastModifiedBy>user</cp:lastModifiedBy>
  <cp:lastPrinted>2023-10-17T10:54:00Z</cp:lastPrinted>
  <dcterms:modified xsi:type="dcterms:W3CDTF">2024-07-08T10:23:06Z</dcterms:modified>
  <cp:revision>4</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2052-10.8.0.7178</vt:lpwstr>
  </property>
</Properties>
</file>