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600" w:lineRule="exact"/>
        <w:jc w:val="center"/>
        <w:rPr>
          <w:rFonts w:hint="eastAsia" w:ascii="方正小标宋简体" w:hAnsi="方正小标宋简体" w:eastAsia="方正小标宋简体" w:cs="方正小标宋简体"/>
          <w:kern w:val="2"/>
          <w:sz w:val="44"/>
          <w:szCs w:val="44"/>
          <w:highlight w:val="none"/>
          <w:lang w:val="en-US" w:eastAsia="zh-CN"/>
        </w:rPr>
      </w:pPr>
      <w:bookmarkStart w:id="0" w:name="_Toc1446433150"/>
      <w:bookmarkStart w:id="1" w:name="_Toc1426330646"/>
      <w:bookmarkStart w:id="2" w:name="_Toc2092738813"/>
      <w:bookmarkStart w:id="3" w:name="_Toc5586"/>
      <w:bookmarkStart w:id="4" w:name="_Toc619980307"/>
      <w:bookmarkStart w:id="5" w:name="_Toc16059"/>
      <w:r>
        <w:rPr>
          <w:rFonts w:hint="eastAsia" w:ascii="方正小标宋简体" w:hAnsi="方正小标宋简体" w:eastAsia="方正小标宋简体" w:cs="方正小标宋简体"/>
          <w:kern w:val="2"/>
          <w:sz w:val="44"/>
          <w:szCs w:val="44"/>
          <w:highlight w:val="none"/>
          <w:lang w:val="en-US" w:eastAsia="zh"/>
        </w:rPr>
        <w:t>青岛市</w:t>
      </w:r>
      <w:r>
        <w:rPr>
          <w:rFonts w:hint="eastAsia" w:ascii="方正小标宋简体" w:hAnsi="方正小标宋简体" w:eastAsia="方正小标宋简体" w:cs="方正小标宋简体"/>
          <w:kern w:val="2"/>
          <w:sz w:val="44"/>
          <w:szCs w:val="44"/>
          <w:highlight w:val="none"/>
          <w:lang w:val="en-US" w:eastAsia="zh-CN"/>
        </w:rPr>
        <w:t>养殖环节病死畜禽无害化处理补助</w:t>
      </w:r>
    </w:p>
    <w:p>
      <w:pPr>
        <w:widowControl w:val="0"/>
        <w:spacing w:line="600" w:lineRule="exact"/>
        <w:jc w:val="center"/>
        <w:rPr>
          <w:rFonts w:hint="eastAsia" w:ascii="方正小标宋简体" w:hAnsi="方正小标宋简体" w:eastAsia="方正小标宋简体" w:cs="方正小标宋简体"/>
          <w:kern w:val="2"/>
          <w:sz w:val="44"/>
          <w:szCs w:val="44"/>
          <w:highlight w:val="none"/>
          <w:lang w:val="en-US" w:eastAsia="zh-CN"/>
        </w:rPr>
      </w:pPr>
      <w:r>
        <w:rPr>
          <w:rFonts w:hint="eastAsia" w:ascii="方正小标宋简体" w:hAnsi="方正小标宋简体" w:eastAsia="方正小标宋简体" w:cs="方正小标宋简体"/>
          <w:kern w:val="2"/>
          <w:sz w:val="44"/>
          <w:szCs w:val="44"/>
          <w:highlight w:val="none"/>
          <w:lang w:val="en-US" w:eastAsia="zh-CN"/>
        </w:rPr>
        <w:t>（2021年—2024年）政策绩效评价</w:t>
      </w:r>
      <w:bookmarkEnd w:id="0"/>
      <w:bookmarkEnd w:id="1"/>
      <w:bookmarkEnd w:id="2"/>
      <w:bookmarkEnd w:id="3"/>
      <w:bookmarkEnd w:id="4"/>
      <w:bookmarkEnd w:id="5"/>
      <w:bookmarkStart w:id="6" w:name="_Toc14856"/>
      <w:bookmarkStart w:id="7" w:name="_Toc9355"/>
      <w:bookmarkStart w:id="8" w:name="_Toc687068010"/>
      <w:r>
        <w:rPr>
          <w:rFonts w:hint="eastAsia" w:ascii="方正小标宋简体" w:hAnsi="方正小标宋简体" w:eastAsia="方正小标宋简体" w:cs="方正小标宋简体"/>
          <w:kern w:val="2"/>
          <w:sz w:val="44"/>
          <w:szCs w:val="44"/>
          <w:highlight w:val="none"/>
          <w:lang w:val="en-US" w:eastAsia="zh-CN"/>
        </w:rPr>
        <w:t>报告</w:t>
      </w:r>
    </w:p>
    <w:p>
      <w:pPr>
        <w:pStyle w:val="15"/>
        <w:widowControl w:val="0"/>
        <w:numPr>
          <w:ilvl w:val="0"/>
          <w:numId w:val="0"/>
        </w:numPr>
        <w:wordWrap/>
        <w:adjustRightInd/>
        <w:spacing w:after="0" w:line="560" w:lineRule="exact"/>
        <w:ind w:leftChars="0"/>
        <w:jc w:val="both"/>
        <w:outlineLvl w:val="0"/>
        <w:rPr>
          <w:rFonts w:hint="eastAsia" w:ascii="仿宋" w:hAnsi="仿宋" w:eastAsia="仿宋" w:cs="仿宋"/>
          <w:b w:val="0"/>
          <w:bCs w:val="0"/>
          <w:color w:val="auto"/>
          <w:kern w:val="2"/>
          <w:sz w:val="28"/>
          <w:szCs w:val="28"/>
          <w:highlight w:val="none"/>
          <w:shd w:val="clear" w:color="auto" w:fill="auto"/>
          <w:lang w:val="en-US" w:eastAsia="zh-CN" w:bidi="ar-SA"/>
        </w:rPr>
      </w:pPr>
    </w:p>
    <w:bookmarkEnd w:id="6"/>
    <w:bookmarkEnd w:id="7"/>
    <w:bookmarkEnd w:id="8"/>
    <w:p>
      <w:pPr>
        <w:widowControl w:val="0"/>
        <w:spacing w:line="600" w:lineRule="exact"/>
        <w:ind w:firstLine="640" w:firstLineChars="200"/>
        <w:jc w:val="both"/>
        <w:rPr>
          <w:rFonts w:hint="eastAsia" w:ascii="黑体" w:hAnsi="黑体" w:eastAsia="黑体" w:cs="黑体"/>
          <w:kern w:val="2"/>
          <w:sz w:val="32"/>
          <w:szCs w:val="40"/>
          <w:highlight w:val="none"/>
          <w:lang w:val="en-US" w:eastAsia="zh-CN"/>
        </w:rPr>
      </w:pPr>
      <w:r>
        <w:rPr>
          <w:rFonts w:hint="eastAsia" w:ascii="黑体" w:hAnsi="黑体" w:eastAsia="黑体" w:cs="黑体"/>
          <w:kern w:val="2"/>
          <w:sz w:val="32"/>
          <w:szCs w:val="40"/>
          <w:highlight w:val="none"/>
          <w:lang w:val="en-US" w:eastAsia="zh-CN"/>
        </w:rPr>
        <w:t>一、政策基本情</w:t>
      </w:r>
      <w:bookmarkStart w:id="9" w:name="_Toc2344"/>
      <w:bookmarkStart w:id="10" w:name="_Toc6003"/>
      <w:bookmarkStart w:id="11" w:name="_Toc15639"/>
      <w:bookmarkStart w:id="12" w:name="_Toc62673383"/>
      <w:bookmarkStart w:id="13" w:name="_Toc12086"/>
      <w:bookmarkStart w:id="14" w:name="_Toc532474151"/>
      <w:bookmarkStart w:id="15" w:name="_Toc590775257"/>
      <w:r>
        <w:rPr>
          <w:rFonts w:hint="eastAsia" w:ascii="黑体" w:hAnsi="黑体" w:eastAsia="黑体" w:cs="黑体"/>
          <w:kern w:val="2"/>
          <w:sz w:val="32"/>
          <w:szCs w:val="40"/>
          <w:highlight w:val="none"/>
          <w:lang w:val="en-US" w:eastAsia="zh"/>
        </w:rPr>
        <w:t>况</w:t>
      </w:r>
    </w:p>
    <w:p>
      <w:pPr>
        <w:widowControl w:val="0"/>
        <w:spacing w:line="600" w:lineRule="exact"/>
        <w:ind w:firstLine="640" w:firstLineChars="200"/>
        <w:jc w:val="both"/>
        <w:rPr>
          <w:rFonts w:hint="default"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CN"/>
        </w:rPr>
        <w:t>（一）政策概况</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1.政策背景。</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rPr>
      </w:pPr>
      <w:r>
        <w:rPr>
          <w:rFonts w:hint="default" w:ascii="仿宋_GB2312" w:hAnsi="仿宋_GB2312" w:eastAsia="仿宋_GB2312" w:cs="仿宋_GB2312"/>
          <w:kern w:val="2"/>
          <w:sz w:val="32"/>
          <w:szCs w:val="40"/>
          <w:highlight w:val="none"/>
          <w:lang w:val="en-US" w:eastAsia="zh-CN"/>
        </w:rPr>
        <w:t>为贯彻落实农业农村部、财政部《关于进一步加强病死畜禽无害化处理工作的通知》（农牧发〔2020〕6号）和省畜牧兽医局、省财政厅《关于进一步加强病死畜禽无害化处理工作的通知》（鲁牧计财发〔2020〕20号）要求，决定调整养殖环节病死畜禽无害化处理补助标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2.政策主要内容。</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（1）补</w:t>
      </w:r>
      <w:r>
        <w:rPr>
          <w:rFonts w:hint="default" w:ascii="仿宋_GB2312" w:hAnsi="仿宋_GB2312" w:eastAsia="仿宋_GB2312" w:cs="仿宋_GB2312"/>
          <w:kern w:val="2"/>
          <w:sz w:val="32"/>
          <w:szCs w:val="40"/>
          <w:highlight w:val="none"/>
          <w:lang w:val="en-US" w:eastAsia="zh-CN"/>
        </w:rPr>
        <w:t>助对象</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①</w:t>
      </w:r>
      <w:r>
        <w:rPr>
          <w:rFonts w:hint="default" w:ascii="仿宋_GB2312" w:hAnsi="仿宋_GB2312" w:eastAsia="仿宋_GB2312" w:cs="仿宋_GB2312"/>
          <w:kern w:val="2"/>
          <w:sz w:val="32"/>
          <w:szCs w:val="40"/>
          <w:highlight w:val="none"/>
          <w:lang w:val="en-US" w:eastAsia="zh-CN"/>
        </w:rPr>
        <w:t>从事病死畜禽集中收集和无害化处理的企业；</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②</w:t>
      </w:r>
      <w:r>
        <w:rPr>
          <w:rFonts w:hint="default" w:ascii="仿宋_GB2312" w:hAnsi="仿宋_GB2312" w:eastAsia="仿宋_GB2312" w:cs="仿宋_GB2312"/>
          <w:kern w:val="2"/>
          <w:sz w:val="32"/>
          <w:szCs w:val="40"/>
          <w:highlight w:val="none"/>
          <w:lang w:val="en-US" w:eastAsia="zh-CN"/>
        </w:rPr>
        <w:t>按规定落实国家强制免疫等动物防疫法定义务、上交病死牛羊以及体长30厘米（含）以上病死猪的养殖场（户）。已享受病死畜禽政策性保险补贴和染疫动物强制扑杀补助的养殖场（户）除外。</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（2）</w:t>
      </w:r>
      <w:r>
        <w:rPr>
          <w:rFonts w:hint="default" w:ascii="仿宋_GB2312" w:hAnsi="仿宋_GB2312" w:eastAsia="仿宋_GB2312" w:cs="仿宋_GB2312"/>
          <w:kern w:val="2"/>
          <w:sz w:val="32"/>
          <w:szCs w:val="40"/>
          <w:highlight w:val="none"/>
          <w:lang w:val="en-US" w:eastAsia="zh-CN"/>
        </w:rPr>
        <w:t>调整补助范围和标准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default" w:ascii="仿宋_GB2312" w:hAnsi="仿宋_GB2312" w:eastAsia="仿宋_GB2312" w:cs="仿宋_GB2312"/>
          <w:kern w:val="2"/>
          <w:sz w:val="32"/>
          <w:szCs w:val="40"/>
          <w:highlight w:val="none"/>
          <w:lang w:val="en-US" w:eastAsia="zh-CN"/>
        </w:rPr>
        <w:t>自2021年1月1日起，将在我市饲养并宰杀取皮的毛皮动物胴体纳入无害化处理补助范围,并对现有养殖环节病死猪、牛、羊、禽、兔无害化处理补助标准进行调整,具体标准如下</w:t>
      </w:r>
      <w:r>
        <w:rPr>
          <w:rFonts w:hint="eastAsia" w:ascii="仿宋_GB2312" w:hAnsi="仿宋_GB2312" w:eastAsia="仿宋_GB2312" w:cs="仿宋_GB2312"/>
          <w:kern w:val="2"/>
          <w:sz w:val="32"/>
          <w:szCs w:val="40"/>
          <w:highlight w:val="none"/>
          <w:lang w:val="en-US" w:eastAsia="zh"/>
        </w:rPr>
        <w:t>：</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①</w:t>
      </w:r>
      <w:r>
        <w:rPr>
          <w:rFonts w:hint="default" w:ascii="仿宋_GB2312" w:hAnsi="仿宋_GB2312" w:eastAsia="仿宋_GB2312" w:cs="仿宋_GB2312"/>
          <w:kern w:val="2"/>
          <w:sz w:val="32"/>
          <w:szCs w:val="40"/>
          <w:highlight w:val="none"/>
          <w:lang w:val="en-US" w:eastAsia="zh-CN"/>
        </w:rPr>
        <w:t>病死猪无害化处理补助标准。病死猪体长小于30厘米（含流产、死胎）的，不予补助；病死猪体长大于30厘米（含）小于70厘米的补助60元/头，其中养殖环节补助10元，收集环节补助15元，无害化处理环节补助35元；病死猪体长70厘米（含）以上的补助80元/头，其中养殖环节补助20元，收集环节补助16元，无害化处理环节补助44元。</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②</w:t>
      </w:r>
      <w:r>
        <w:rPr>
          <w:rFonts w:hint="default" w:ascii="仿宋_GB2312" w:hAnsi="仿宋_GB2312" w:eastAsia="仿宋_GB2312" w:cs="仿宋_GB2312"/>
          <w:kern w:val="2"/>
          <w:sz w:val="32"/>
          <w:szCs w:val="40"/>
          <w:highlight w:val="none"/>
          <w:lang w:val="en-US" w:eastAsia="zh-CN"/>
        </w:rPr>
        <w:t>病死牛羊无害化处理补助标准。病死奶牛补助800元/头、病死肉牛补助400元/头、病死羊补助26元/只，其中养殖、收集、无害化处理环节补助比例分别为25%、20%、55%。</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③</w:t>
      </w:r>
      <w:r>
        <w:rPr>
          <w:rFonts w:hint="default" w:ascii="仿宋_GB2312" w:hAnsi="仿宋_GB2312" w:eastAsia="仿宋_GB2312" w:cs="仿宋_GB2312"/>
          <w:kern w:val="2"/>
          <w:sz w:val="32"/>
          <w:szCs w:val="40"/>
          <w:highlight w:val="none"/>
          <w:lang w:val="en-US" w:eastAsia="zh-CN"/>
        </w:rPr>
        <w:t>病死禽兔和毛皮动物胴体无害化处理补助标准。病死禽（鸡、鸭、鹅）、兔和毛皮动物胴体，按照重量补助1.2元/千克。其中，收集环节补助0.3元，无害化处理环节补助0.9元。市财政不对上交病死禽兔和毛皮动物胴体的养殖场（户）进行补助，各区（市）财政可根据实际情况自行决定。</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default" w:ascii="仿宋_GB2312" w:hAnsi="仿宋_GB2312" w:eastAsia="仿宋_GB2312" w:cs="仿宋_GB2312"/>
          <w:kern w:val="2"/>
          <w:sz w:val="32"/>
          <w:szCs w:val="40"/>
          <w:highlight w:val="none"/>
          <w:lang w:val="en-US" w:eastAsia="zh-CN"/>
        </w:rPr>
        <w:t>各区（市）可结合辖区实际适当提高补助标准，增加部分由区（市）承担。鼓励有条件的区（市）探索建立养殖场（户）委托处理病死畜禽付费机制，并报市农业农村局、市财政局备案。</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详见下表：</w:t>
      </w:r>
    </w:p>
    <w:p>
      <w:pPr>
        <w:pStyle w:val="2"/>
        <w:rPr>
          <w:rFonts w:hint="eastAsia" w:ascii="仿宋_GB2312" w:hAnsi="仿宋_GB2312" w:eastAsia="仿宋_GB2312" w:cs="仿宋_GB2312"/>
          <w:kern w:val="2"/>
          <w:sz w:val="32"/>
          <w:szCs w:val="40"/>
          <w:highlight w:val="none"/>
          <w:lang w:val="en-US" w:eastAsia="zh-CN"/>
        </w:rPr>
      </w:pPr>
    </w:p>
    <w:p>
      <w:pPr>
        <w:rPr>
          <w:rFonts w:hint="default"/>
          <w:lang w:val="en-US" w:eastAsia="zh-CN"/>
        </w:rPr>
      </w:pPr>
    </w:p>
    <w:tbl>
      <w:tblPr>
        <w:tblStyle w:val="28"/>
        <w:tblW w:w="88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8845" w:type="dxa"/>
            <w:shd w:val="clear" w:color="auto" w:fill="808080"/>
            <w:vAlign w:val="center"/>
          </w:tcPr>
          <w:p>
            <w:pPr>
              <w:pStyle w:val="30"/>
              <w:keepNext w:val="0"/>
              <w:keepLines w:val="0"/>
              <w:numPr>
                <w:ilvl w:val="0"/>
                <w:numId w:val="0"/>
              </w:numPr>
              <w:suppressLineNumbers w:val="0"/>
              <w:spacing w:before="0" w:beforeAutospacing="0" w:after="0" w:afterAutospacing="0"/>
              <w:ind w:left="0" w:leftChars="0" w:right="0" w:firstLine="0" w:firstLineChars="0"/>
              <w:jc w:val="center"/>
              <w:rPr>
                <w:rFonts w:hint="default" w:ascii="仿宋_GB2312" w:hAnsi="仿宋_GB2312" w:eastAsia="仿宋_GB2312" w:cs="仿宋_GB2312"/>
                <w:b/>
                <w:bCs/>
                <w:color w:val="auto"/>
                <w:kern w:val="2"/>
                <w:sz w:val="18"/>
                <w:szCs w:val="18"/>
                <w:highlight w:val="none"/>
                <w:shd w:val="clear" w:color="auto" w:fill="auto"/>
                <w:vertAlign w:val="baseline"/>
                <w:lang w:val="en-US" w:eastAsia="zh-CN" w:bidi="ar-SA"/>
              </w:rPr>
            </w:pPr>
            <w:r>
              <w:rPr>
                <w:rFonts w:hint="eastAsia" w:ascii="仿宋_GB2312" w:hAnsi="仿宋_GB2312" w:eastAsia="仿宋_GB2312" w:cs="仿宋_GB2312"/>
                <w:b/>
                <w:bCs/>
                <w:color w:val="auto"/>
                <w:kern w:val="2"/>
                <w:sz w:val="18"/>
                <w:szCs w:val="18"/>
                <w:highlight w:val="none"/>
                <w:shd w:val="clear" w:color="auto" w:fill="auto"/>
                <w:vertAlign w:val="baseline"/>
                <w:lang w:val="en-US" w:eastAsia="zh-CN" w:bidi="ar-SA"/>
              </w:rPr>
              <w:t>各</w:t>
            </w:r>
            <w:r>
              <w:rPr>
                <w:rFonts w:hint="eastAsia" w:ascii="仿宋_GB2312" w:hAnsi="仿宋_GB2312" w:eastAsia="仿宋_GB2312" w:cs="仿宋_GB2312"/>
                <w:b/>
                <w:bCs/>
                <w:color w:val="auto"/>
                <w:kern w:val="2"/>
                <w:sz w:val="18"/>
                <w:szCs w:val="18"/>
                <w:highlight w:val="none"/>
                <w:shd w:val="clear" w:color="auto" w:fill="auto"/>
                <w:vertAlign w:val="baseline"/>
                <w:lang w:val="en-US" w:eastAsia="zh" w:bidi="ar-SA"/>
              </w:rPr>
              <w:t>区（市）</w:t>
            </w:r>
            <w:r>
              <w:rPr>
                <w:rFonts w:hint="eastAsia" w:ascii="仿宋_GB2312" w:hAnsi="仿宋_GB2312" w:eastAsia="仿宋_GB2312" w:cs="仿宋_GB2312"/>
                <w:b/>
                <w:bCs/>
                <w:color w:val="auto"/>
                <w:kern w:val="2"/>
                <w:sz w:val="18"/>
                <w:szCs w:val="18"/>
                <w:highlight w:val="none"/>
                <w:shd w:val="clear" w:color="auto" w:fill="auto"/>
                <w:vertAlign w:val="baseline"/>
                <w:lang w:val="en-US" w:eastAsia="zh-CN" w:bidi="ar-SA"/>
              </w:rPr>
              <w:t>补助标准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6" w:hRule="atLeast"/>
          <w:jc w:val="center"/>
        </w:trPr>
        <w:tc>
          <w:tcPr>
            <w:tcW w:w="8845" w:type="dxa"/>
            <w:vAlign w:val="center"/>
          </w:tcPr>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default" w:ascii="仿宋_GB2312" w:hAnsi="Times New Roman" w:eastAsia="仿宋_GB2312" w:cs="仿宋_GB2312"/>
                <w:kern w:val="2"/>
                <w:sz w:val="20"/>
                <w:szCs w:val="20"/>
                <w:lang w:val="en-US" w:eastAsia="zh-CN" w:bidi="ar"/>
              </w:rPr>
            </w:pPr>
            <w:r>
              <w:rPr>
                <w:rFonts w:hint="default" w:ascii="仿宋_GB2312" w:hAnsi="Times New Roman" w:eastAsia="仿宋_GB2312" w:cs="仿宋_GB2312"/>
                <w:b/>
                <w:bCs/>
                <w:kern w:val="2"/>
                <w:sz w:val="20"/>
                <w:szCs w:val="20"/>
                <w:lang w:val="en-US" w:eastAsia="zh-CN" w:bidi="ar"/>
              </w:rPr>
              <w:t>城阳区：</w:t>
            </w:r>
            <w:r>
              <w:rPr>
                <w:rFonts w:hint="default" w:ascii="仿宋_GB2312" w:hAnsi="Times New Roman" w:eastAsia="仿宋_GB2312" w:cs="仿宋_GB2312"/>
                <w:kern w:val="2"/>
                <w:sz w:val="20"/>
                <w:szCs w:val="20"/>
                <w:lang w:val="en-US" w:eastAsia="zh-CN" w:bidi="ar"/>
              </w:rPr>
              <w:t>1.补助标准：病死猪体长小于30cm（不含流产、死胎）的，每头补助12元；体长大于等于30cm，小于70cm的病死猪，每头补助72元；体长大于等于70cm的病死猪，每头补助92元。病死奶牛920元/头、病死肉牛460元/头、病死羊30元/只，病死禽（鸡、鸭、鹅）、兔和毛皮动物胴体按重量进行补助，补助标准为每公斤1.8元。</w:t>
            </w:r>
          </w:p>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default" w:ascii="仿宋_GB2312" w:eastAsia="仿宋_GB2312" w:cs="仿宋_GB2312"/>
                <w:kern w:val="2"/>
                <w:sz w:val="20"/>
                <w:szCs w:val="20"/>
              </w:rPr>
            </w:pPr>
            <w:r>
              <w:rPr>
                <w:rFonts w:hint="default" w:ascii="仿宋_GB2312" w:hAnsi="Times New Roman" w:eastAsia="仿宋_GB2312" w:cs="仿宋_GB2312"/>
                <w:b/>
                <w:bCs/>
                <w:kern w:val="2"/>
                <w:sz w:val="20"/>
                <w:szCs w:val="20"/>
                <w:lang w:val="en-US" w:eastAsia="zh-CN" w:bidi="ar"/>
              </w:rPr>
              <w:t>西海岸新区：</w:t>
            </w:r>
            <w:r>
              <w:rPr>
                <w:rFonts w:hint="default" w:ascii="仿宋_GB2312" w:hAnsi="Times New Roman" w:eastAsia="仿宋_GB2312" w:cs="仿宋_GB2312"/>
                <w:kern w:val="2"/>
                <w:sz w:val="20"/>
                <w:szCs w:val="20"/>
                <w:lang w:val="en-US" w:eastAsia="zh-CN" w:bidi="ar"/>
              </w:rPr>
              <w:t>猪每只补助80元，养殖户、收集、无害化处理环节分别补助：20元，16元，44元；羽翼丰满的禽兔（肉食鸡、蛋鸡、兔子）每只补助4元，养殖户、收集、无害化处理环节分别补助：1元，0.8元，2.2元；狐狸胴体（貉）每只8元，养殖户、收集、无害化处理环节分别补助2元，1.6元、4.4元；水貂胴体每只2.6元，养殖户、收集、无害化处理环节分别补助0.65元、0.52元、1.43元。对体长小于30厘米以及死胎流产的仔猪、羽翼未丰满的禽兔不予补助,但仍需按照病死动物不准宰杀、不准食用、不准出售、不准随意丢弃、全部进行无害化处理的“四不一处理”要求进行集中无害化处理。</w:t>
            </w:r>
          </w:p>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default" w:ascii="仿宋_GB2312" w:hAnsi="Times New Roman" w:eastAsia="仿宋_GB2312" w:cs="仿宋_GB2312"/>
                <w:kern w:val="2"/>
                <w:sz w:val="20"/>
                <w:szCs w:val="20"/>
                <w:lang w:val="en-US" w:eastAsia="zh-CN" w:bidi="ar"/>
              </w:rPr>
            </w:pPr>
            <w:r>
              <w:rPr>
                <w:rFonts w:hint="default" w:ascii="仿宋_GB2312" w:hAnsi="Times New Roman" w:eastAsia="仿宋_GB2312" w:cs="仿宋_GB2312"/>
                <w:b/>
                <w:bCs/>
                <w:kern w:val="2"/>
                <w:sz w:val="20"/>
                <w:szCs w:val="20"/>
                <w:lang w:val="en-US" w:eastAsia="zh-CN" w:bidi="ar"/>
              </w:rPr>
              <w:t>即墨区</w:t>
            </w:r>
            <w:r>
              <w:rPr>
                <w:rFonts w:hint="default" w:ascii="仿宋_GB2312" w:hAnsi="Times New Roman" w:eastAsia="仿宋_GB2312" w:cs="仿宋_GB2312"/>
                <w:kern w:val="2"/>
                <w:sz w:val="20"/>
                <w:szCs w:val="20"/>
                <w:lang w:val="en-US" w:eastAsia="zh-CN" w:bidi="ar"/>
              </w:rPr>
              <w:t>：与青岛市一致。</w:t>
            </w:r>
          </w:p>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eastAsia" w:ascii="仿宋_GB2312" w:hAnsi="Times New Roman" w:eastAsia="仿宋_GB2312" w:cs="仿宋_GB2312"/>
                <w:kern w:val="2"/>
                <w:sz w:val="20"/>
                <w:szCs w:val="20"/>
                <w:lang w:val="en-US" w:eastAsia="zh" w:bidi="ar"/>
              </w:rPr>
            </w:pPr>
            <w:r>
              <w:rPr>
                <w:rFonts w:hint="default" w:ascii="仿宋_GB2312" w:hAnsi="Times New Roman" w:eastAsia="仿宋_GB2312" w:cs="仿宋_GB2312"/>
                <w:b/>
                <w:bCs/>
                <w:kern w:val="2"/>
                <w:sz w:val="20"/>
                <w:szCs w:val="20"/>
                <w:lang w:val="en-US" w:eastAsia="zh-CN" w:bidi="ar"/>
              </w:rPr>
              <w:t>胶州市：</w:t>
            </w:r>
            <w:r>
              <w:rPr>
                <w:rFonts w:hint="default" w:ascii="仿宋_GB2312" w:hAnsi="Times New Roman" w:eastAsia="仿宋_GB2312" w:cs="仿宋_GB2312"/>
                <w:kern w:val="2"/>
                <w:sz w:val="20"/>
                <w:szCs w:val="20"/>
                <w:lang w:val="en-US" w:eastAsia="zh-CN" w:bidi="ar"/>
              </w:rPr>
              <w:t>与青岛市一致</w:t>
            </w:r>
            <w:r>
              <w:rPr>
                <w:rFonts w:hint="eastAsia" w:ascii="仿宋_GB2312" w:hAnsi="Times New Roman" w:eastAsia="仿宋_GB2312" w:cs="仿宋_GB2312"/>
                <w:kern w:val="2"/>
                <w:sz w:val="20"/>
                <w:szCs w:val="20"/>
                <w:lang w:val="en-US" w:eastAsia="zh" w:bidi="ar"/>
              </w:rPr>
              <w:t>。</w:t>
            </w:r>
          </w:p>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eastAsia" w:ascii="仿宋_GB2312" w:hAnsi="Times New Roman" w:eastAsia="仿宋_GB2312" w:cs="仿宋_GB2312"/>
                <w:kern w:val="2"/>
                <w:sz w:val="20"/>
                <w:szCs w:val="20"/>
                <w:lang w:val="en-US" w:eastAsia="zh" w:bidi="ar"/>
              </w:rPr>
            </w:pPr>
            <w:r>
              <w:rPr>
                <w:rFonts w:hint="default" w:ascii="仿宋_GB2312" w:hAnsi="Times New Roman" w:eastAsia="仿宋_GB2312" w:cs="仿宋_GB2312"/>
                <w:b/>
                <w:bCs/>
                <w:kern w:val="2"/>
                <w:sz w:val="20"/>
                <w:szCs w:val="20"/>
                <w:lang w:val="en-US" w:eastAsia="zh-CN" w:bidi="ar"/>
              </w:rPr>
              <w:t>平度市</w:t>
            </w:r>
            <w:r>
              <w:rPr>
                <w:rFonts w:hint="default" w:ascii="仿宋_GB2312" w:hAnsi="Times New Roman" w:eastAsia="仿宋_GB2312" w:cs="仿宋_GB2312"/>
                <w:kern w:val="2"/>
                <w:sz w:val="20"/>
                <w:szCs w:val="20"/>
                <w:lang w:val="en-US" w:eastAsia="zh-CN" w:bidi="ar"/>
              </w:rPr>
              <w:t>：与青岛市一致</w:t>
            </w:r>
            <w:r>
              <w:rPr>
                <w:rFonts w:hint="eastAsia" w:ascii="仿宋_GB2312" w:hAnsi="Times New Roman" w:eastAsia="仿宋_GB2312" w:cs="仿宋_GB2312"/>
                <w:kern w:val="2"/>
                <w:sz w:val="20"/>
                <w:szCs w:val="20"/>
                <w:lang w:val="en-US" w:eastAsia="zh" w:bidi="ar"/>
              </w:rPr>
              <w:t>。</w:t>
            </w:r>
          </w:p>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eastAsia" w:ascii="仿宋_GB2312" w:hAnsi="仿宋_GB2312" w:eastAsia="仿宋_GB2312" w:cs="仿宋_GB2312"/>
                <w:color w:val="auto"/>
                <w:kern w:val="2"/>
                <w:sz w:val="20"/>
                <w:szCs w:val="20"/>
                <w:highlight w:val="none"/>
                <w:shd w:val="clear" w:color="auto" w:fill="auto"/>
                <w:vertAlign w:val="baseline"/>
                <w:lang w:val="en-US" w:eastAsia="zh"/>
              </w:rPr>
            </w:pPr>
            <w:r>
              <w:rPr>
                <w:rFonts w:hint="default" w:ascii="仿宋_GB2312" w:hAnsi="Times New Roman" w:eastAsia="仿宋_GB2312" w:cs="仿宋_GB2312"/>
                <w:b/>
                <w:bCs/>
                <w:kern w:val="2"/>
                <w:sz w:val="20"/>
                <w:szCs w:val="20"/>
                <w:lang w:val="en-US" w:eastAsia="zh-CN" w:bidi="ar"/>
              </w:rPr>
              <w:t>莱西市：</w:t>
            </w:r>
            <w:r>
              <w:rPr>
                <w:rFonts w:hint="default" w:ascii="仿宋_GB2312" w:hAnsi="Times New Roman" w:eastAsia="仿宋_GB2312" w:cs="仿宋_GB2312"/>
                <w:kern w:val="2"/>
                <w:sz w:val="20"/>
                <w:szCs w:val="20"/>
                <w:lang w:val="en-US" w:eastAsia="zh-CN" w:bidi="ar"/>
              </w:rPr>
              <w:t>1.病死猪补助标准：对病死猪体长小于30cm（包括流产、死胎）的不予补助；体长大于30cm，小于70cm的病死猪，每头补助40元,分配比例为：养殖场（户）、收集环节、处理环节分别补助10元、8元、22元；体长70cm以上，并打挂二维码耳标的病死猪每头补助80元。分配比例为：养殖场（户）、收集环节、处理环节分别补助20元、16元、44元。2.病死牛补助标准：与青岛市一致。3.病死羊补助标准：与青岛市一致。4.病死禽兔补助标准：按病死禽兔重量进行补助，肉鸡20日龄以上且体重不低于500克，蛋鸡40日龄以上且体重不低于500克，兔35日龄以上且体重不低于500克，补助标准为每公斤1.2元，补给病死禽兔收集和无害化处理单位，收集和处理环节分别补助0.3元和0.9元。</w:t>
            </w:r>
          </w:p>
        </w:tc>
      </w:tr>
    </w:tbl>
    <w:p>
      <w:pPr>
        <w:spacing w:line="560" w:lineRule="exact"/>
        <w:rPr>
          <w:rFonts w:hint="eastAsia" w:ascii="仿宋_GB2312" w:hAnsi="仿宋_GB2312" w:eastAsia="仿宋_GB2312" w:cs="仿宋_GB2312"/>
          <w:color w:val="auto"/>
          <w:kern w:val="2"/>
          <w:sz w:val="32"/>
          <w:szCs w:val="32"/>
          <w:highlight w:val="none"/>
          <w:shd w:val="clear" w:color="auto" w:fill="auto"/>
          <w:lang w:val="en-US" w:eastAsia="zh-CN"/>
        </w:rPr>
      </w:pP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3.政策实施有关要求。</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（1）</w:t>
      </w:r>
      <w:r>
        <w:rPr>
          <w:rFonts w:hint="default" w:ascii="仿宋_GB2312" w:hAnsi="仿宋_GB2312" w:eastAsia="仿宋_GB2312" w:cs="仿宋_GB2312"/>
          <w:kern w:val="2"/>
          <w:sz w:val="32"/>
          <w:szCs w:val="40"/>
          <w:highlight w:val="none"/>
          <w:lang w:val="en-US" w:eastAsia="zh-CN"/>
        </w:rPr>
        <w:t>各区（市）政府对本地区病死畜禽无害化处理工作负总责，统一领导本行政区域病死畜禽无害化处理工作。畜禽养殖场(户)是病死畜禽无害化处理第一责任人，应切实履行无害化处理主体责任，主动委托无害化处理厂进行集中处理。病死畜禽专业无害化处理厂作为承担病死畜禽无害化处理任务的经营主体，应认真执行疫病防控等法律法规，按照收集、暂存、运输、处理建设标准开展提档升级建设，保证收集和处理数量真实准确，确保符合动物防疫和环境保护要求。</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eastAsia" w:ascii="仿宋_GB2312" w:hAnsi="仿宋_GB2312" w:eastAsia="仿宋_GB2312" w:cs="仿宋_GB2312"/>
          <w:kern w:val="2"/>
          <w:sz w:val="32"/>
          <w:szCs w:val="40"/>
          <w:highlight w:val="none"/>
          <w:lang w:val="en-US" w:eastAsia="zh"/>
        </w:rPr>
        <w:t>（2）</w:t>
      </w:r>
      <w:r>
        <w:rPr>
          <w:rFonts w:hint="default" w:ascii="仿宋_GB2312" w:hAnsi="仿宋_GB2312" w:eastAsia="仿宋_GB2312" w:cs="仿宋_GB2312"/>
          <w:kern w:val="2"/>
          <w:sz w:val="32"/>
          <w:szCs w:val="40"/>
          <w:highlight w:val="none"/>
          <w:lang w:val="en-US" w:eastAsia="zh-CN"/>
        </w:rPr>
        <w:t>在收集病死畜禽时，基层站监管人员、无害化处理厂收集人员、养殖场（户）负责人三方必须现场确认病死畜禽（含毛皮动物胴体）数量，按规定拍摄照片并将照片和相关数据上传至青岛市畜牧业安全监管平台。同时，现场填写病死畜禽无害化处理收集登记表，经三方签字确认。要持续推进信息化监管应用，确保信息系统数据与纸质记录一致。</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eastAsia" w:ascii="仿宋_GB2312" w:hAnsi="仿宋_GB2312" w:eastAsia="仿宋_GB2312" w:cs="仿宋_GB2312"/>
          <w:kern w:val="2"/>
          <w:sz w:val="32"/>
          <w:szCs w:val="40"/>
          <w:highlight w:val="none"/>
          <w:lang w:val="en-US" w:eastAsia="zh"/>
        </w:rPr>
        <w:t>（3）</w:t>
      </w:r>
      <w:r>
        <w:rPr>
          <w:rFonts w:hint="default" w:ascii="仿宋_GB2312" w:hAnsi="仿宋_GB2312" w:eastAsia="仿宋_GB2312" w:cs="仿宋_GB2312"/>
          <w:kern w:val="2"/>
          <w:sz w:val="32"/>
          <w:szCs w:val="40"/>
          <w:highlight w:val="none"/>
          <w:lang w:val="en-US" w:eastAsia="zh-CN"/>
        </w:rPr>
        <w:t>无害化处理补助资金实行先处理后补助。上级财政补助资金下达后，区（市）应在3个月内将上年度补助资金兑付到位。各区（市）农业农村局要加快预算执行进度，每半年将无害化处理补助资金拨付给养殖场户和无害化收集、处理企业,切实减轻无害化处理企业资金压力,确保无害化处理体系有效运行。每年7月底前和次年1月底前，区（市）农业农村局和财政局将本辖区病死畜禽无害化处理工作半年（全年）总结报告分别报上级主管部门备案。</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（4）</w:t>
      </w:r>
      <w:r>
        <w:rPr>
          <w:rFonts w:hint="default" w:ascii="仿宋_GB2312" w:hAnsi="仿宋_GB2312" w:eastAsia="仿宋_GB2312" w:cs="仿宋_GB2312"/>
          <w:kern w:val="2"/>
          <w:sz w:val="32"/>
          <w:szCs w:val="40"/>
          <w:highlight w:val="none"/>
          <w:lang w:val="en-US" w:eastAsia="zh-CN"/>
        </w:rPr>
        <w:t>市、区（市）农业农村局、财政局要加强无害化处理补助工作监督检查，必要时可以委托第三方社会机构对无害化处理数据进行核实。各区（市）农业农村部门负责辖区内病死畜禽无害化处理监督管理、数据核查、统计上报等工作，会同财政部门做好资金拨付、绩效评价相关工作。各区（市）财政部门负责补助资金筹集拨付、监督管理，牵头实施绩效管理工作。对数据审核上报弄虚作假，滞留截留、挤占挪用补助资金的，依法依规追究相关责任。对提供虚假资料、骗取套取补助资金的单位和个人，一经查实，全额追回补助资金并依法依规从严处理。支持扩大畜禽保险覆盖面,完善病死畜禽无害化处理与保险联动机制,将病死畜禽无害化处理作为保险理赔的前提条件,拓宽病死畜禽无害化处理支持渠道。</w:t>
      </w:r>
    </w:p>
    <w:bookmarkEnd w:id="9"/>
    <w:bookmarkEnd w:id="10"/>
    <w:bookmarkEnd w:id="11"/>
    <w:bookmarkEnd w:id="12"/>
    <w:bookmarkEnd w:id="13"/>
    <w:bookmarkEnd w:id="14"/>
    <w:bookmarkEnd w:id="15"/>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4.资金投入及使用情况。</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w:t>
      </w:r>
      <w:r>
        <w:rPr>
          <w:rFonts w:hint="eastAsia" w:ascii="仿宋_GB2312" w:hAnsi="仿宋_GB2312" w:eastAsia="仿宋_GB2312" w:cs="仿宋_GB2312"/>
          <w:kern w:val="2"/>
          <w:sz w:val="32"/>
          <w:szCs w:val="40"/>
          <w:highlight w:val="none"/>
          <w:lang w:val="en-US" w:eastAsia="zh"/>
        </w:rPr>
        <w:t>1</w:t>
      </w:r>
      <w:r>
        <w:rPr>
          <w:rFonts w:hint="eastAsia" w:ascii="仿宋_GB2312" w:hAnsi="仿宋_GB2312" w:eastAsia="仿宋_GB2312" w:cs="仿宋_GB2312"/>
          <w:kern w:val="2"/>
          <w:sz w:val="32"/>
          <w:szCs w:val="40"/>
          <w:highlight w:val="none"/>
          <w:lang w:val="en-US" w:eastAsia="zh-CN"/>
        </w:rPr>
        <w:t>）资金预算情况</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default" w:ascii="仿宋_GB2312" w:hAnsi="仿宋_GB2312" w:eastAsia="仿宋_GB2312" w:cs="仿宋_GB2312"/>
          <w:kern w:val="2"/>
          <w:sz w:val="32"/>
          <w:szCs w:val="40"/>
          <w:highlight w:val="none"/>
          <w:lang w:val="en-US" w:eastAsia="zh-CN"/>
        </w:rPr>
        <w:t>2021年度预算安排2,685.00万元，其中当年中央财政资金1,522.00万元，当年市级财政资金1,163.00万元。</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default" w:ascii="仿宋_GB2312" w:hAnsi="仿宋_GB2312" w:eastAsia="仿宋_GB2312" w:cs="仿宋_GB2312"/>
          <w:kern w:val="2"/>
          <w:sz w:val="32"/>
          <w:szCs w:val="40"/>
          <w:highlight w:val="none"/>
          <w:lang w:val="en-US" w:eastAsia="zh-CN"/>
        </w:rPr>
        <w:t>2022年度预算安排2,316.00万元，其中当年中央财政资金1,316.00万元，当年市级财政资金1,000.00万元。</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default" w:ascii="仿宋_GB2312" w:hAnsi="仿宋_GB2312" w:eastAsia="仿宋_GB2312" w:cs="仿宋_GB2312"/>
          <w:kern w:val="2"/>
          <w:sz w:val="32"/>
          <w:szCs w:val="40"/>
          <w:highlight w:val="none"/>
          <w:lang w:val="en-US" w:eastAsia="zh-CN"/>
        </w:rPr>
        <w:t>2023年度预算安排1,122.00万元，其中当年中央财政资金622.00万元，当年市级财政资金500.00万元。</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default" w:ascii="仿宋_GB2312" w:hAnsi="仿宋_GB2312" w:eastAsia="仿宋_GB2312" w:cs="仿宋_GB2312"/>
          <w:kern w:val="2"/>
          <w:sz w:val="32"/>
          <w:szCs w:val="40"/>
          <w:highlight w:val="none"/>
          <w:lang w:val="en-US" w:eastAsia="zh-CN"/>
        </w:rPr>
        <w:t>2024年度预算安排4,565.10万元，其中当年中央财政资金1,193.00万元，当年市级财政资金3,372.10万元。详见表1:</w:t>
      </w:r>
    </w:p>
    <w:p>
      <w:pPr>
        <w:keepNext w:val="0"/>
        <w:keepLines w:val="0"/>
        <w:widowControl/>
        <w:suppressLineNumbers w:val="0"/>
        <w:spacing w:before="0" w:beforeAutospacing="0" w:after="0" w:afterAutospacing="0" w:line="560" w:lineRule="exact"/>
        <w:ind w:left="0" w:right="0" w:firstLine="482" w:firstLineChars="200"/>
        <w:jc w:val="center"/>
        <w:rPr>
          <w:rFonts w:hint="default" w:ascii="黑体" w:hAnsi="宋体" w:eastAsia="黑体" w:cs="黑体"/>
          <w:b/>
          <w:bCs/>
          <w:sz w:val="24"/>
          <w:szCs w:val="24"/>
          <w:highlight w:val="none"/>
        </w:rPr>
      </w:pPr>
      <w:r>
        <w:rPr>
          <w:rFonts w:hint="eastAsia" w:ascii="黑体" w:hAnsi="宋体" w:eastAsia="黑体" w:cs="黑体"/>
          <w:b/>
          <w:bCs/>
          <w:kern w:val="0"/>
          <w:sz w:val="24"/>
          <w:szCs w:val="24"/>
          <w:highlight w:val="none"/>
          <w:lang w:val="en-US" w:eastAsia="zh" w:bidi="ar"/>
        </w:rPr>
        <w:t xml:space="preserve">表1  </w:t>
      </w:r>
      <w:r>
        <w:rPr>
          <w:rFonts w:hint="default" w:ascii="黑体" w:hAnsi="宋体" w:eastAsia="黑体" w:cs="黑体"/>
          <w:b/>
          <w:bCs/>
          <w:kern w:val="0"/>
          <w:sz w:val="24"/>
          <w:szCs w:val="24"/>
          <w:highlight w:val="none"/>
          <w:lang w:val="en-US" w:eastAsia="zh-CN" w:bidi="ar"/>
        </w:rPr>
        <w:t>2021-2024年中央和市级病死畜禽无害化处理补助</w:t>
      </w:r>
      <w:r>
        <w:rPr>
          <w:rFonts w:hint="eastAsia" w:ascii="黑体" w:eastAsia="黑体" w:cs="黑体"/>
          <w:b/>
          <w:bCs/>
          <w:kern w:val="0"/>
          <w:sz w:val="24"/>
          <w:szCs w:val="24"/>
          <w:highlight w:val="none"/>
          <w:lang w:val="en-US" w:eastAsia="zh" w:bidi="ar"/>
        </w:rPr>
        <w:t>政策</w:t>
      </w:r>
      <w:r>
        <w:rPr>
          <w:rFonts w:hint="default" w:ascii="黑体" w:hAnsi="宋体" w:eastAsia="黑体" w:cs="黑体"/>
          <w:b/>
          <w:bCs/>
          <w:kern w:val="0"/>
          <w:sz w:val="24"/>
          <w:szCs w:val="24"/>
          <w:highlight w:val="none"/>
          <w:lang w:val="en-US" w:eastAsia="zh-CN" w:bidi="ar"/>
        </w:rPr>
        <w:t>资金明细表</w:t>
      </w:r>
    </w:p>
    <w:p>
      <w:pPr>
        <w:keepNext w:val="0"/>
        <w:keepLines w:val="0"/>
        <w:widowControl/>
        <w:suppressLineNumbers w:val="0"/>
        <w:spacing w:before="0" w:beforeAutospacing="0" w:after="0" w:afterAutospacing="0" w:line="560" w:lineRule="exact"/>
        <w:ind w:left="0" w:right="0" w:firstLine="480" w:firstLineChars="200"/>
        <w:jc w:val="right"/>
        <w:rPr>
          <w:rFonts w:hint="default" w:ascii="黑体" w:hAnsi="宋体" w:eastAsia="黑体" w:cs="黑体"/>
          <w:sz w:val="24"/>
          <w:szCs w:val="24"/>
          <w:highlight w:val="none"/>
        </w:rPr>
      </w:pPr>
      <w:r>
        <w:rPr>
          <w:rFonts w:hint="default" w:ascii="黑体" w:hAnsi="宋体" w:eastAsia="黑体" w:cs="黑体"/>
          <w:kern w:val="0"/>
          <w:sz w:val="24"/>
          <w:szCs w:val="24"/>
          <w:highlight w:val="none"/>
          <w:lang w:val="en-US" w:eastAsia="zh-CN" w:bidi="ar"/>
        </w:rPr>
        <w:t>单位：万元</w:t>
      </w:r>
    </w:p>
    <w:tbl>
      <w:tblPr>
        <w:tblStyle w:val="28"/>
        <w:tblW w:w="88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
      <w:tblGrid>
        <w:gridCol w:w="648"/>
        <w:gridCol w:w="1342"/>
        <w:gridCol w:w="1039"/>
        <w:gridCol w:w="975"/>
        <w:gridCol w:w="975"/>
        <w:gridCol w:w="975"/>
        <w:gridCol w:w="975"/>
        <w:gridCol w:w="975"/>
        <w:gridCol w:w="9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rPr>
          <w:trHeight w:val="408" w:hRule="atLeast"/>
          <w:tblHeader/>
        </w:trPr>
        <w:tc>
          <w:tcPr>
            <w:tcW w:w="648" w:type="dxa"/>
            <w:tcBorders>
              <w:top w:val="single" w:color="000000" w:sz="4" w:space="0"/>
              <w:left w:val="single" w:color="000000" w:sz="4" w:space="0"/>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年度</w:t>
            </w:r>
          </w:p>
        </w:tc>
        <w:tc>
          <w:tcPr>
            <w:tcW w:w="1342"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补助类型</w:t>
            </w:r>
          </w:p>
        </w:tc>
        <w:tc>
          <w:tcPr>
            <w:tcW w:w="1039"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预算</w:t>
            </w:r>
          </w:p>
          <w:p>
            <w:pPr>
              <w:keepNext w:val="0"/>
              <w:keepLines w:val="0"/>
              <w:widowControl/>
              <w:suppressLineNumbers w:val="0"/>
              <w:spacing w:before="0" w:beforeAutospacing="0" w:after="0" w:afterAutospacing="0"/>
              <w:ind w:left="0" w:right="0"/>
              <w:jc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总额</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城阳区</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kern w:val="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西海岸</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新区</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即墨区</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胶州市</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平度市</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莱西市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600" w:hRule="atLeast"/>
        </w:trPr>
        <w:tc>
          <w:tcPr>
            <w:tcW w:w="648"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2021</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中央资金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（病死猪）</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1,522.00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789.00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72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市级资金</w:t>
            </w:r>
          </w:p>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highlight w:val="none"/>
                <w:lang w:eastAsia="zh"/>
              </w:rPr>
            </w:pPr>
            <w:r>
              <w:rPr>
                <w:rFonts w:hint="default" w:ascii="仿宋" w:hAnsi="仿宋" w:eastAsia="仿宋" w:cs="仿宋"/>
                <w:i w:val="0"/>
                <w:iCs w:val="0"/>
                <w:color w:val="000000"/>
                <w:kern w:val="0"/>
                <w:sz w:val="20"/>
                <w:szCs w:val="20"/>
                <w:highlight w:val="none"/>
                <w:lang w:val="en-US" w:eastAsia="zh-CN" w:bidi="ar"/>
              </w:rPr>
              <w:t>(病死畜禽</w:t>
            </w:r>
            <w:r>
              <w:rPr>
                <w:rFonts w:hint="eastAsia" w:ascii="仿宋" w:hAnsi="仿宋" w:eastAsia="仿宋" w:cs="仿宋"/>
                <w:i w:val="0"/>
                <w:iCs w:val="0"/>
                <w:color w:val="000000"/>
                <w:kern w:val="0"/>
                <w:sz w:val="20"/>
                <w:szCs w:val="20"/>
                <w:highlight w:val="none"/>
                <w:lang w:val="en-US" w:eastAsia="zh" w:bidi="ar"/>
              </w:rPr>
              <w:t>）</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1,163.00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167.88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120.40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82.28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448.94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343.50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62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小计</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2,685.00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267.88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290.40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182.28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1,237.94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706.50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620" w:hRule="atLeast"/>
        </w:trPr>
        <w:tc>
          <w:tcPr>
            <w:tcW w:w="648"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2022</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中央资金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（病死猪）</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1,316.00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195.00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134.00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630.00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60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市级资金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（病死畜禽）</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1,000.00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220.00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230.00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62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小计</w:t>
            </w:r>
          </w:p>
        </w:tc>
        <w:tc>
          <w:tcPr>
            <w:tcW w:w="1039"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2,316.00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415.00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403.00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184.00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333.00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620" w:hRule="atLeast"/>
        </w:trPr>
        <w:tc>
          <w:tcPr>
            <w:tcW w:w="648"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2023</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中央资金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（病死猪）</w:t>
            </w:r>
          </w:p>
        </w:tc>
        <w:tc>
          <w:tcPr>
            <w:tcW w:w="1039"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622.00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92.00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70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市级资金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（病死畜禽）</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500.00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175.00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68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小计</w:t>
            </w:r>
          </w:p>
        </w:tc>
        <w:tc>
          <w:tcPr>
            <w:tcW w:w="1039"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1,122.00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168.00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175.00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382.00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680" w:hRule="atLeast"/>
        </w:trPr>
        <w:tc>
          <w:tcPr>
            <w:tcW w:w="648"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2024</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中央资金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（病死猪）</w:t>
            </w:r>
          </w:p>
        </w:tc>
        <w:tc>
          <w:tcPr>
            <w:tcW w:w="1039"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1,193.00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252.00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584.00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74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市级资金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（病死畜禽）</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3,372.10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31.10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214.00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368.00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1,167.00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1,515.00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70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小计</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4,565.10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78.10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351.00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124.00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1,751.00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1,641.00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590" w:hRule="atLeast"/>
        </w:trPr>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中央资金合计</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4,653.00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68.00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582.00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773.00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373.00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2,003.00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854.00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720" w:hRule="atLeast"/>
        </w:trPr>
        <w:tc>
          <w:tcPr>
            <w:tcW w:w="1990"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市级资金合计</w:t>
            </w:r>
          </w:p>
        </w:tc>
        <w:tc>
          <w:tcPr>
            <w:tcW w:w="1039"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6,035.10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31.10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711.88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708.40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234.28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2,140.94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2,208.50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640" w:hRule="atLeast"/>
        </w:trPr>
        <w:tc>
          <w:tcPr>
            <w:tcW w:w="199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总计</w:t>
            </w:r>
          </w:p>
        </w:tc>
        <w:tc>
          <w:tcPr>
            <w:tcW w:w="10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10,688.10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 99.10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1,293.88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1,481.40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 607.28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4,143.94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3,062.50 </w:t>
            </w:r>
          </w:p>
        </w:tc>
      </w:tr>
    </w:tbl>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default" w:ascii="仿宋_GB2312" w:hAnsi="仿宋_GB2312" w:eastAsia="仿宋_GB2312" w:cs="仿宋_GB2312"/>
          <w:kern w:val="2"/>
          <w:sz w:val="32"/>
          <w:szCs w:val="40"/>
          <w:highlight w:val="none"/>
          <w:lang w:val="en-US" w:eastAsia="zh-CN"/>
        </w:rPr>
        <w:t>（</w:t>
      </w:r>
      <w:r>
        <w:rPr>
          <w:rFonts w:hint="eastAsia" w:ascii="仿宋_GB2312" w:hAnsi="仿宋_GB2312" w:eastAsia="仿宋_GB2312" w:cs="仿宋_GB2312"/>
          <w:kern w:val="2"/>
          <w:sz w:val="32"/>
          <w:szCs w:val="40"/>
          <w:highlight w:val="none"/>
          <w:lang w:val="en-US" w:eastAsia="zh"/>
        </w:rPr>
        <w:t>2</w:t>
      </w:r>
      <w:r>
        <w:rPr>
          <w:rFonts w:hint="default" w:ascii="仿宋_GB2312" w:hAnsi="仿宋_GB2312" w:eastAsia="仿宋_GB2312" w:cs="仿宋_GB2312"/>
          <w:kern w:val="2"/>
          <w:sz w:val="32"/>
          <w:szCs w:val="40"/>
          <w:highlight w:val="none"/>
          <w:lang w:val="en-US" w:eastAsia="zh-CN"/>
        </w:rPr>
        <w:t>）资金到位及使用情况</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default" w:ascii="仿宋_GB2312" w:hAnsi="仿宋_GB2312" w:eastAsia="仿宋_GB2312" w:cs="仿宋_GB2312"/>
          <w:kern w:val="2"/>
          <w:sz w:val="32"/>
          <w:szCs w:val="40"/>
          <w:highlight w:val="none"/>
          <w:lang w:val="en-US" w:eastAsia="zh-CN"/>
        </w:rPr>
        <w:t>2021年度预算安排2,685.00万元，实际执行资金2,685.00万元，预算执行率为100%。2022年度预算安排2,316.00万元，实际执行资金2,316.00万元，预算执行率为100%。2023年度预算安排1,122.00万元，实际执行资金1,113.06万元，预算执行率为</w:t>
      </w:r>
      <w:r>
        <w:rPr>
          <w:rFonts w:hint="eastAsia" w:ascii="仿宋_GB2312" w:hAnsi="仿宋_GB2312" w:eastAsia="仿宋_GB2312" w:cs="仿宋_GB2312"/>
          <w:kern w:val="2"/>
          <w:sz w:val="32"/>
          <w:szCs w:val="40"/>
          <w:highlight w:val="none"/>
          <w:lang w:val="en-US" w:eastAsia="zh"/>
        </w:rPr>
        <w:t>99.20</w:t>
      </w:r>
      <w:r>
        <w:rPr>
          <w:rFonts w:hint="default" w:ascii="仿宋_GB2312" w:hAnsi="仿宋_GB2312" w:eastAsia="仿宋_GB2312" w:cs="仿宋_GB2312"/>
          <w:kern w:val="2"/>
          <w:sz w:val="32"/>
          <w:szCs w:val="40"/>
          <w:highlight w:val="none"/>
          <w:lang w:val="en-US" w:eastAsia="zh-CN"/>
        </w:rPr>
        <w:t>%。2024年度预算安排4,565.10万元，实际执行资金1,731.81万元，预算执行率为37.94%。详见表2：</w:t>
      </w:r>
    </w:p>
    <w:p>
      <w:pPr>
        <w:keepNext w:val="0"/>
        <w:keepLines w:val="0"/>
        <w:widowControl/>
        <w:suppressLineNumbers w:val="0"/>
        <w:spacing w:before="0" w:beforeAutospacing="0" w:after="0" w:afterAutospacing="0"/>
        <w:ind w:left="0" w:right="0"/>
        <w:jc w:val="center"/>
        <w:rPr>
          <w:rFonts w:hint="default" w:ascii="黑体" w:hAnsi="宋体" w:eastAsia="黑体" w:cs="黑体"/>
          <w:b/>
          <w:bCs/>
          <w:color w:val="000000"/>
          <w:kern w:val="0"/>
          <w:sz w:val="24"/>
          <w:szCs w:val="24"/>
          <w:highlight w:val="none"/>
        </w:rPr>
      </w:pPr>
      <w:r>
        <w:rPr>
          <w:rFonts w:hint="default" w:ascii="黑体" w:hAnsi="宋体" w:eastAsia="黑体" w:cs="黑体"/>
          <w:b/>
          <w:bCs/>
          <w:color w:val="000000"/>
          <w:kern w:val="0"/>
          <w:sz w:val="24"/>
          <w:szCs w:val="24"/>
          <w:highlight w:val="none"/>
          <w:lang w:val="en-US" w:eastAsia="zh-CN" w:bidi="ar"/>
        </w:rPr>
        <w:t>表2  2021-2024年度预算资金执行情况</w:t>
      </w:r>
    </w:p>
    <w:p>
      <w:pPr>
        <w:keepNext w:val="0"/>
        <w:keepLines w:val="0"/>
        <w:widowControl/>
        <w:suppressLineNumbers w:val="0"/>
        <w:spacing w:before="0" w:beforeAutospacing="0" w:after="0" w:afterAutospacing="0" w:line="560" w:lineRule="exact"/>
        <w:ind w:left="0" w:right="0" w:firstLine="480" w:firstLineChars="200"/>
        <w:jc w:val="right"/>
        <w:rPr>
          <w:rFonts w:hint="default" w:ascii="黑体" w:hAnsi="宋体" w:eastAsia="黑体" w:cs="黑体"/>
          <w:sz w:val="24"/>
          <w:szCs w:val="24"/>
          <w:highlight w:val="none"/>
        </w:rPr>
      </w:pPr>
      <w:r>
        <w:rPr>
          <w:rFonts w:hint="default" w:ascii="黑体" w:hAnsi="宋体" w:eastAsia="黑体" w:cs="黑体"/>
          <w:kern w:val="0"/>
          <w:sz w:val="24"/>
          <w:szCs w:val="24"/>
          <w:highlight w:val="none"/>
          <w:lang w:val="en-US" w:eastAsia="zh-CN" w:bidi="ar"/>
        </w:rPr>
        <w:t>单位：万元</w:t>
      </w:r>
    </w:p>
    <w:tbl>
      <w:tblPr>
        <w:tblStyle w:val="28"/>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36"/>
        <w:gridCol w:w="881"/>
        <w:gridCol w:w="1068"/>
        <w:gridCol w:w="1163"/>
        <w:gridCol w:w="1085"/>
        <w:gridCol w:w="1085"/>
        <w:gridCol w:w="1085"/>
        <w:gridCol w:w="1089"/>
        <w:gridCol w:w="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855" w:hRule="atLeast"/>
          <w:tblHeader/>
        </w:trPr>
        <w:tc>
          <w:tcPr>
            <w:tcW w:w="636" w:type="dxa"/>
            <w:tcBorders>
              <w:top w:val="single" w:color="auto" w:sz="4" w:space="0"/>
              <w:left w:val="single" w:color="auto" w:sz="4" w:space="0"/>
              <w:bottom w:val="single" w:color="auto" w:sz="4" w:space="0"/>
              <w:right w:val="single" w:color="auto" w:sz="4" w:space="0"/>
            </w:tcBorders>
            <w:shd w:val="clear" w:color="auto" w:fill="7F7F7F"/>
            <w:vAlign w:val="center"/>
          </w:tcPr>
          <w:p>
            <w:pPr>
              <w:pStyle w:val="21"/>
              <w:keepNext w:val="0"/>
              <w:keepLines w:val="0"/>
              <w:widowControl/>
              <w:suppressLineNumbers w:val="0"/>
              <w:adjustRightInd w:val="0"/>
              <w:snapToGrid w:val="0"/>
              <w:spacing w:before="0" w:beforeAutospacing="0" w:after="0" w:afterAutospacing="0" w:line="360" w:lineRule="auto"/>
              <w:ind w:left="0" w:leftChars="0" w:right="0" w:firstLine="0" w:firstLineChars="0"/>
              <w:jc w:val="center"/>
              <w:outlineLvl w:val="0"/>
              <w:rPr>
                <w:rFonts w:hint="default" w:ascii="仿宋_GB2312" w:eastAsia="仿宋_GB2312" w:cs="仿宋_GB2312"/>
                <w:b/>
                <w:bCs/>
                <w:kern w:val="2"/>
                <w:sz w:val="21"/>
                <w:szCs w:val="21"/>
                <w:highlight w:val="none"/>
              </w:rPr>
            </w:pPr>
            <w:r>
              <w:rPr>
                <w:rFonts w:hint="default" w:ascii="仿宋_GB2312" w:hAnsi="Times New Roman" w:eastAsia="仿宋_GB2312" w:cs="仿宋_GB2312"/>
                <w:b/>
                <w:bCs/>
                <w:kern w:val="2"/>
                <w:sz w:val="21"/>
                <w:szCs w:val="21"/>
                <w:highlight w:val="none"/>
                <w:lang w:val="en-US" w:eastAsia="zh-CN" w:bidi="ar"/>
              </w:rPr>
              <w:t>年度</w:t>
            </w:r>
          </w:p>
        </w:tc>
        <w:tc>
          <w:tcPr>
            <w:tcW w:w="881"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color w:val="000000"/>
                <w:kern w:val="0"/>
                <w:sz w:val="21"/>
                <w:szCs w:val="21"/>
                <w:highlight w:val="none"/>
                <w:lang w:val="en-US" w:eastAsia="zh-CN" w:bidi="ar"/>
              </w:rPr>
              <w:t>区（市）</w:t>
            </w:r>
          </w:p>
        </w:tc>
        <w:tc>
          <w:tcPr>
            <w:tcW w:w="1068"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中央预算</w:t>
            </w:r>
          </w:p>
        </w:tc>
        <w:tc>
          <w:tcPr>
            <w:tcW w:w="1163"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市级预算</w:t>
            </w:r>
          </w:p>
        </w:tc>
        <w:tc>
          <w:tcPr>
            <w:tcW w:w="1085"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预算合计</w:t>
            </w:r>
          </w:p>
        </w:tc>
        <w:tc>
          <w:tcPr>
            <w:tcW w:w="1085"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中央预算支出</w:t>
            </w:r>
          </w:p>
        </w:tc>
        <w:tc>
          <w:tcPr>
            <w:tcW w:w="1085"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市级预算支出</w:t>
            </w:r>
          </w:p>
        </w:tc>
        <w:tc>
          <w:tcPr>
            <w:tcW w:w="1089"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预算支出合计</w:t>
            </w:r>
          </w:p>
        </w:tc>
        <w:tc>
          <w:tcPr>
            <w:tcW w:w="969"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预算执行率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42" w:hRule="atLeast"/>
        </w:trPr>
        <w:tc>
          <w:tcPr>
            <w:tcW w:w="636" w:type="dxa"/>
            <w:vMerge w:val="restart"/>
            <w:tcBorders>
              <w:top w:val="nil"/>
              <w:left w:val="single" w:color="auto" w:sz="4" w:space="0"/>
              <w:bottom w:val="single" w:color="auto" w:sz="4" w:space="0"/>
              <w:right w:val="single" w:color="auto" w:sz="4" w:space="0"/>
            </w:tcBorders>
            <w:shd w:val="clear" w:color="auto" w:fill="FFFFFF"/>
            <w:vAlign w:val="center"/>
          </w:tcPr>
          <w:p>
            <w:pPr>
              <w:pStyle w:val="21"/>
              <w:keepNext w:val="0"/>
              <w:keepLines w:val="0"/>
              <w:widowControl w:val="0"/>
              <w:suppressLineNumbers w:val="0"/>
              <w:adjustRightInd w:val="0"/>
              <w:spacing w:before="0" w:beforeAutospacing="0" w:after="0" w:afterAutospacing="0" w:line="312" w:lineRule="atLeast"/>
              <w:ind w:left="0" w:right="0"/>
              <w:jc w:val="center"/>
              <w:textAlignment w:val="baseline"/>
              <w:rPr>
                <w:rFonts w:hint="default" w:ascii="仿宋_GB2312" w:hAnsi="Times New Roman" w:eastAsia="仿宋_GB2312" w:cs="仿宋_GB2312"/>
                <w:b w:val="0"/>
                <w:bCs w:val="0"/>
                <w:kern w:val="2"/>
                <w:sz w:val="21"/>
                <w:szCs w:val="21"/>
                <w:highlight w:val="none"/>
                <w:lang w:val="en-US" w:eastAsia="zh-CN" w:bidi="ar"/>
              </w:rPr>
            </w:pPr>
          </w:p>
          <w:p>
            <w:pPr>
              <w:pStyle w:val="21"/>
              <w:keepNext w:val="0"/>
              <w:keepLines w:val="0"/>
              <w:widowControl w:val="0"/>
              <w:suppressLineNumbers w:val="0"/>
              <w:adjustRightInd w:val="0"/>
              <w:spacing w:before="0" w:beforeAutospacing="0" w:after="0" w:afterAutospacing="0" w:line="312" w:lineRule="atLeast"/>
              <w:ind w:left="0" w:right="0"/>
              <w:jc w:val="center"/>
              <w:textAlignment w:val="baseline"/>
              <w:rPr>
                <w:rFonts w:hint="default" w:ascii="仿宋_GB2312" w:hAnsi="Times New Roman" w:eastAsia="仿宋_GB2312" w:cs="仿宋_GB2312"/>
                <w:b w:val="0"/>
                <w:bCs w:val="0"/>
                <w:kern w:val="2"/>
                <w:sz w:val="21"/>
                <w:szCs w:val="21"/>
                <w:highlight w:val="none"/>
                <w:lang w:val="en-US" w:eastAsia="zh-CN" w:bidi="ar"/>
              </w:rPr>
            </w:pPr>
          </w:p>
          <w:p>
            <w:pPr>
              <w:pStyle w:val="21"/>
              <w:keepNext w:val="0"/>
              <w:keepLines w:val="0"/>
              <w:widowControl w:val="0"/>
              <w:suppressLineNumbers w:val="0"/>
              <w:adjustRightInd w:val="0"/>
              <w:spacing w:before="0" w:beforeAutospacing="0" w:after="0" w:afterAutospacing="0" w:line="312" w:lineRule="atLeast"/>
              <w:ind w:left="0" w:right="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kern w:val="2"/>
                <w:sz w:val="21"/>
                <w:szCs w:val="21"/>
                <w:highlight w:val="none"/>
                <w:lang w:val="en-US" w:eastAsia="zh-CN" w:bidi="ar"/>
              </w:rPr>
              <w:t>2021</w:t>
            </w:r>
          </w:p>
        </w:tc>
        <w:tc>
          <w:tcPr>
            <w:tcW w:w="88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_GB2312" w:eastAsia="仿宋_GB2312" w:cs="仿宋_GB2312"/>
                <w:b w:val="0"/>
                <w:bCs w:val="0"/>
                <w:i w:val="0"/>
                <w:iCs w:val="0"/>
                <w:color w:val="00000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城阳区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0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b w:val="0"/>
                <w:bCs w:val="0"/>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w:t>
            </w:r>
          </w:p>
        </w:tc>
        <w:tc>
          <w:tcPr>
            <w:tcW w:w="10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val="0"/>
                <w:bCs w:val="0"/>
                <w:i w:val="0"/>
                <w:iCs w:val="0"/>
                <w:color w:val="000000"/>
                <w:sz w:val="20"/>
                <w:szCs w:val="20"/>
                <w:highlight w:val="none"/>
              </w:rPr>
            </w:pPr>
          </w:p>
        </w:tc>
        <w:tc>
          <w:tcPr>
            <w:tcW w:w="10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val="0"/>
                <w:bCs w:val="0"/>
                <w:i w:val="0"/>
                <w:iCs w:val="0"/>
                <w:color w:val="000000"/>
                <w:sz w:val="20"/>
                <w:szCs w:val="20"/>
                <w:highlight w:val="none"/>
              </w:rPr>
            </w:pPr>
          </w:p>
        </w:tc>
        <w:tc>
          <w:tcPr>
            <w:tcW w:w="108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6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val="0"/>
                <w:bCs w:val="0"/>
                <w:i w:val="0"/>
                <w:iCs w:val="0"/>
                <w:color w:val="00000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55" w:hRule="atLeast"/>
        </w:trPr>
        <w:tc>
          <w:tcPr>
            <w:tcW w:w="636" w:type="dxa"/>
            <w:vMerge w:val="continue"/>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b w:val="0"/>
                <w:bCs w:val="0"/>
                <w:i w:val="0"/>
                <w:iCs w:val="0"/>
                <w:color w:val="000000"/>
                <w:kern w:val="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西海岸</w:t>
            </w:r>
          </w:p>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新区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167.88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267.88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167.88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267.88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55" w:hRule="atLeast"/>
        </w:trPr>
        <w:tc>
          <w:tcPr>
            <w:tcW w:w="636" w:type="dxa"/>
            <w:vMerge w:val="continue"/>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即墨区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120.40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290.40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120.40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290.40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42" w:hRule="atLeast"/>
        </w:trPr>
        <w:tc>
          <w:tcPr>
            <w:tcW w:w="636" w:type="dxa"/>
            <w:vMerge w:val="continue"/>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胶州市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82.28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182.28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82.28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182.28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55" w:hRule="atLeast"/>
        </w:trPr>
        <w:tc>
          <w:tcPr>
            <w:tcW w:w="636" w:type="dxa"/>
            <w:vMerge w:val="continue"/>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平度市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789.00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448.94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 w:bidi="ar"/>
              </w:rPr>
              <w:t>1</w:t>
            </w:r>
            <w:r>
              <w:rPr>
                <w:rFonts w:hint="default" w:ascii="仿宋" w:hAnsi="仿宋" w:eastAsia="仿宋" w:cs="仿宋"/>
                <w:i w:val="0"/>
                <w:iCs w:val="0"/>
                <w:color w:val="000000"/>
                <w:kern w:val="0"/>
                <w:sz w:val="20"/>
                <w:szCs w:val="20"/>
                <w:highlight w:val="none"/>
                <w:lang w:val="en-US" w:eastAsia="zh-CN" w:bidi="ar"/>
              </w:rPr>
              <w:t xml:space="preserve">,237.94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789.00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448.94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1,237.94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42" w:hRule="atLeast"/>
        </w:trPr>
        <w:tc>
          <w:tcPr>
            <w:tcW w:w="636" w:type="dxa"/>
            <w:vMerge w:val="continue"/>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莱西市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363.00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343.50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706.50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343.50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706.50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84" w:hRule="atLeast"/>
        </w:trPr>
        <w:tc>
          <w:tcPr>
            <w:tcW w:w="636" w:type="dxa"/>
            <w:vMerge w:val="continue"/>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000000"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i w:val="0"/>
                <w:iCs w:val="0"/>
                <w:color w:val="000000"/>
                <w:kern w:val="0"/>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合计</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1,522.00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1,163.00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2,685.00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1,522.00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kern w:val="2"/>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1,163.00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2,685.00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60" w:hRule="atLeast"/>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right="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kern w:val="2"/>
                <w:sz w:val="21"/>
                <w:szCs w:val="21"/>
                <w:highlight w:val="none"/>
                <w:lang w:val="en-US" w:eastAsia="zh-CN" w:bidi="ar"/>
              </w:rPr>
              <w:t>2022</w:t>
            </w:r>
          </w:p>
        </w:tc>
        <w:tc>
          <w:tcPr>
            <w:tcW w:w="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_GB2312" w:eastAsia="仿宋_GB2312" w:cs="仿宋_GB2312"/>
                <w:b w:val="0"/>
                <w:bCs w:val="0"/>
                <w:i w:val="0"/>
                <w:iCs w:val="0"/>
                <w:color w:val="00000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城阳区</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40" w:hRule="atLeast"/>
        </w:trPr>
        <w:tc>
          <w:tcPr>
            <w:tcW w:w="636"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b w:val="0"/>
                <w:bCs w:val="0"/>
                <w:i w:val="0"/>
                <w:iCs w:val="0"/>
                <w:color w:val="000000"/>
                <w:kern w:val="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西海岸</w:t>
            </w: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新区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195.00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220.00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415.00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195.00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220.00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415.00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20" w:hRule="atLeast"/>
        </w:trPr>
        <w:tc>
          <w:tcPr>
            <w:tcW w:w="636" w:type="dxa"/>
            <w:vMerge w:val="continue"/>
            <w:tcBorders>
              <w:top w:val="nil"/>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即墨区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253.00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403.00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403.00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83" w:hRule="atLeast"/>
        </w:trPr>
        <w:tc>
          <w:tcPr>
            <w:tcW w:w="636" w:type="dxa"/>
            <w:vMerge w:val="continue"/>
            <w:tcBorders>
              <w:top w:val="nil"/>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胶州市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134.00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184.00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134.00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184.00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98" w:hRule="atLeast"/>
        </w:trPr>
        <w:tc>
          <w:tcPr>
            <w:tcW w:w="636" w:type="dxa"/>
            <w:vMerge w:val="continue"/>
            <w:tcBorders>
              <w:top w:val="nil"/>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平度市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630.00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630.00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05" w:hRule="atLeast"/>
        </w:trPr>
        <w:tc>
          <w:tcPr>
            <w:tcW w:w="636" w:type="dxa"/>
            <w:vMerge w:val="continue"/>
            <w:tcBorders>
              <w:top w:val="nil"/>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莱西市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103.00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230.00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333.00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230.00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333.00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18" w:hRule="atLeast"/>
        </w:trPr>
        <w:tc>
          <w:tcPr>
            <w:tcW w:w="636" w:type="dxa"/>
            <w:vMerge w:val="continue"/>
            <w:tcBorders>
              <w:top w:val="nil"/>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i w:val="0"/>
                <w:iCs w:val="0"/>
                <w:color w:val="000000"/>
                <w:kern w:val="0"/>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合计</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1,316.00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1,000.00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2,316.00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1,316.00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1,000.00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2,316.00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20" w:hRule="atLeast"/>
        </w:trPr>
        <w:tc>
          <w:tcPr>
            <w:tcW w:w="636" w:type="dxa"/>
            <w:vMerge w:val="restart"/>
            <w:tcBorders>
              <w:top w:val="nil"/>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hAnsi="Times New Roman" w:eastAsia="仿宋_GB2312" w:cs="仿宋_GB2312"/>
                <w:b w:val="0"/>
                <w:bCs w:val="0"/>
                <w:kern w:val="2"/>
                <w:sz w:val="21"/>
                <w:szCs w:val="21"/>
                <w:highlight w:val="none"/>
                <w:lang w:val="en-US" w:eastAsia="zh-CN" w:bidi="ar"/>
              </w:rPr>
            </w:pP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hAnsi="Times New Roman" w:eastAsia="仿宋_GB2312" w:cs="仿宋_GB2312"/>
                <w:b w:val="0"/>
                <w:bCs w:val="0"/>
                <w:kern w:val="2"/>
                <w:sz w:val="21"/>
                <w:szCs w:val="21"/>
                <w:highlight w:val="none"/>
                <w:lang w:val="en-US" w:eastAsia="zh-CN" w:bidi="ar"/>
              </w:rPr>
            </w:pP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hAnsi="Times New Roman" w:eastAsia="仿宋_GB2312" w:cs="仿宋_GB2312"/>
                <w:b w:val="0"/>
                <w:bCs w:val="0"/>
                <w:kern w:val="2"/>
                <w:sz w:val="21"/>
                <w:szCs w:val="21"/>
                <w:highlight w:val="none"/>
                <w:lang w:val="en-US" w:eastAsia="zh-CN" w:bidi="ar"/>
              </w:rPr>
            </w:pP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kern w:val="2"/>
                <w:sz w:val="21"/>
                <w:szCs w:val="21"/>
                <w:highlight w:val="none"/>
                <w:lang w:val="en-US" w:eastAsia="zh-CN" w:bidi="ar"/>
              </w:rPr>
              <w:t>2023</w:t>
            </w:r>
          </w:p>
        </w:tc>
        <w:tc>
          <w:tcPr>
            <w:tcW w:w="88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_GB2312" w:eastAsia="仿宋_GB2312" w:cs="仿宋_GB2312"/>
                <w:b w:val="0"/>
                <w:bCs w:val="0"/>
                <w:i w:val="0"/>
                <w:iCs w:val="0"/>
                <w:color w:val="00000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城阳区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84" w:hRule="atLeast"/>
        </w:trPr>
        <w:tc>
          <w:tcPr>
            <w:tcW w:w="63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b w:val="0"/>
                <w:bCs w:val="0"/>
                <w:i w:val="0"/>
                <w:iCs w:val="0"/>
                <w:color w:val="000000"/>
                <w:kern w:val="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西海岸</w:t>
            </w: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新区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260.00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00" w:hRule="atLeast"/>
        </w:trPr>
        <w:tc>
          <w:tcPr>
            <w:tcW w:w="63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即墨区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168.00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168.00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00" w:hRule="atLeast"/>
        </w:trPr>
        <w:tc>
          <w:tcPr>
            <w:tcW w:w="63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胶州市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92.00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117.00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40" w:hRule="atLeast"/>
        </w:trPr>
        <w:tc>
          <w:tcPr>
            <w:tcW w:w="63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平度市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166.06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166.06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94.89%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80" w:hRule="atLeast"/>
        </w:trPr>
        <w:tc>
          <w:tcPr>
            <w:tcW w:w="63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莱西市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262.00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382.00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382.00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20" w:hRule="atLeast"/>
        </w:trPr>
        <w:tc>
          <w:tcPr>
            <w:tcW w:w="636" w:type="dxa"/>
            <w:vMerge w:val="continue"/>
            <w:tcBorders>
              <w:top w:val="nil"/>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000000"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i w:val="0"/>
                <w:iCs w:val="0"/>
                <w:color w:val="000000"/>
                <w:kern w:val="0"/>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合计</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622.00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500.00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1,122.00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491.06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1,113.06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99.20%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00" w:hRule="atLeast"/>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kern w:val="2"/>
                <w:sz w:val="21"/>
                <w:szCs w:val="21"/>
                <w:highlight w:val="none"/>
                <w:lang w:val="en-US" w:eastAsia="zh-CN" w:bidi="ar"/>
              </w:rPr>
              <w:t>2024</w:t>
            </w:r>
          </w:p>
        </w:tc>
        <w:tc>
          <w:tcPr>
            <w:tcW w:w="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_GB2312" w:eastAsia="仿宋_GB2312" w:cs="仿宋_GB2312"/>
                <w:b w:val="0"/>
                <w:bCs w:val="0"/>
                <w:i w:val="0"/>
                <w:iCs w:val="0"/>
                <w:color w:val="00000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城阳区</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31.10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78.10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31.10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78.10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84" w:hRule="atLeast"/>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b w:val="0"/>
                <w:bCs w:val="0"/>
                <w:i w:val="0"/>
                <w:iCs w:val="0"/>
                <w:color w:val="000000"/>
                <w:kern w:val="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西海岸</w:t>
            </w: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新区</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137.00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214.00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351.00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214.00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351.00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80" w:hRule="atLeast"/>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即墨区</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252.00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368.00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162.17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362.17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58.41%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00" w:hRule="atLeast"/>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胶州市</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124.00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33.54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80.54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64.95%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80" w:hRule="atLeast"/>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平度市</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584.00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1,167.00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1,751.00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584.00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584.00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33.35%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60" w:hRule="atLeast"/>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莱西市</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126.00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1,515.00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1,641.00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126.00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276.00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60" w:hRule="atLeast"/>
        </w:trPr>
        <w:tc>
          <w:tcPr>
            <w:tcW w:w="636"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i w:val="0"/>
                <w:iCs w:val="0"/>
                <w:color w:val="000000"/>
                <w:kern w:val="0"/>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合计</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1,193.00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3,372.10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4,565.10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1,103.17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628.64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1,731.81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37.94%</w:t>
            </w:r>
          </w:p>
        </w:tc>
      </w:tr>
    </w:tbl>
    <w:p>
      <w:pPr>
        <w:pStyle w:val="30"/>
        <w:numPr>
          <w:ilvl w:val="0"/>
          <w:numId w:val="0"/>
        </w:numPr>
        <w:ind w:firstLine="640" w:firstLineChars="200"/>
        <w:rPr>
          <w:rFonts w:hint="eastAsia" w:ascii="仿宋_GB2312" w:hAnsi="仿宋_GB2312" w:eastAsia="仿宋_GB2312" w:cs="仿宋_GB2312"/>
          <w:i w:val="0"/>
          <w:iCs w:val="0"/>
          <w:caps w:val="0"/>
          <w:color w:val="auto"/>
          <w:spacing w:val="0"/>
          <w:kern w:val="2"/>
          <w:sz w:val="32"/>
          <w:szCs w:val="32"/>
          <w:highlight w:val="none"/>
          <w:shd w:val="clear" w:color="auto" w:fill="auto"/>
          <w:vertAlign w:val="baseline"/>
          <w:lang w:val="en-US" w:eastAsia="zh-CN"/>
        </w:rPr>
      </w:pPr>
    </w:p>
    <w:p>
      <w:pPr>
        <w:pStyle w:val="30"/>
        <w:numPr>
          <w:ilvl w:val="0"/>
          <w:numId w:val="0"/>
        </w:numPr>
        <w:ind w:firstLine="640" w:firstLineChars="200"/>
        <w:rPr>
          <w:rFonts w:hint="eastAsia" w:ascii="仿宋_GB2312" w:hAnsi="仿宋_GB2312" w:eastAsia="仿宋_GB2312" w:cs="仿宋_GB2312"/>
          <w:i w:val="0"/>
          <w:iCs w:val="0"/>
          <w:caps w:val="0"/>
          <w:color w:val="auto"/>
          <w:spacing w:val="0"/>
          <w:kern w:val="2"/>
          <w:sz w:val="32"/>
          <w:szCs w:val="32"/>
          <w:highlight w:val="none"/>
          <w:shd w:val="clear" w:color="auto" w:fill="auto"/>
          <w:vertAlign w:val="baseline"/>
          <w:lang w:val="en-US" w:eastAsia="zh-CN"/>
        </w:rPr>
        <w:sectPr>
          <w:headerReference r:id="rId3" w:type="default"/>
          <w:footerReference r:id="rId4" w:type="default"/>
          <w:pgSz w:w="11906" w:h="16838"/>
          <w:pgMar w:top="2098" w:right="1474" w:bottom="1984" w:left="158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rPr>
      </w:pPr>
      <w:r>
        <w:rPr>
          <w:rFonts w:hint="eastAsia" w:ascii="楷体_GB2312" w:hAnsi="楷体_GB2312" w:eastAsia="楷体_GB2312" w:cs="楷体_GB2312"/>
          <w:kern w:val="2"/>
          <w:sz w:val="32"/>
          <w:szCs w:val="40"/>
          <w:highlight w:val="none"/>
        </w:rPr>
        <w:t>（二）项目绩效目标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1.总体目标。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病死畜禽专业无害化处理率不断提高，全年未发生大规模随意抛弃病死猪事件，鼓励广大养殖场户积极上交病死动物，减少病死动物乱扔乱弃而引起环境污染、有效控制病死动物引起的动物疫病传播，夯实基层动物防疫工作基础，促进畜牧业稳定健康发展，保障公共卫生和畜产品质量安全。</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2.年度目标。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CN"/>
        </w:rPr>
        <w:t xml:space="preserve"> </w:t>
      </w:r>
      <w:r>
        <w:rPr>
          <w:rFonts w:hint="eastAsia" w:ascii="仿宋_GB2312" w:hAnsi="仿宋_GB2312" w:eastAsia="仿宋_GB2312" w:cs="仿宋_GB2312"/>
          <w:kern w:val="2"/>
          <w:sz w:val="32"/>
          <w:szCs w:val="40"/>
          <w:highlight w:val="none"/>
          <w:lang w:val="en-US" w:eastAsia="zh"/>
        </w:rPr>
        <w:t>2021年度：平度市病死畜禽专业无害化处理率不断提高；莱西市对病死或死因不明的畜禽进行无害化处理，发放2021年养殖环节病死畜禽无害化处理补助资金；西海岸新区按青黄政办发（2015）22号、青西农字（2019）207号文件执行,降低重大动物疫病和人畜共患传染病的发生和传播风险，保护畜产品和动物防疫安全，不发生大规模随意抛弃病死猪事件，利用好财政补助资金，鼓励广大养殖场户积极上交病死动物，减少病死动物乱扔乱弃而引起环境污染、有效控制病死动物引起的动物疫病传播；即墨市夯实基层动物防疫工作基础，促进畜牧业稳定健康发展，保障公共卫生和畜产品质量安全。</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养殖环节病死猪无害化处理，养殖环节病死猪无害化处理补助289289头，中央财政补助经费使用率达100%，不发生大规模随意抛弃病死猪事件，无资金使用重大违规违纪问题。</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2022年度：开展养殖环节病死畜禽无害化处理</w:t>
      </w:r>
      <w:r>
        <w:rPr>
          <w:rFonts w:hint="default" w:ascii="仿宋_GB2312" w:hAnsi="仿宋_GB2312" w:eastAsia="仿宋_GB2312" w:cs="仿宋_GB2312"/>
          <w:kern w:val="2"/>
          <w:sz w:val="32"/>
          <w:szCs w:val="40"/>
          <w:highlight w:val="none"/>
          <w:lang w:val="en-US" w:eastAsia="zh-CN"/>
        </w:rPr>
        <w:t>。养殖环节病死猪无害化处理补助375769头</w:t>
      </w:r>
      <w:r>
        <w:rPr>
          <w:rFonts w:hint="eastAsia" w:ascii="仿宋_GB2312" w:hAnsi="仿宋_GB2312" w:eastAsia="仿宋_GB2312" w:cs="仿宋_GB2312"/>
          <w:kern w:val="2"/>
          <w:sz w:val="32"/>
          <w:szCs w:val="40"/>
          <w:highlight w:val="none"/>
          <w:lang w:val="en-US" w:eastAsia="zh"/>
        </w:rPr>
        <w:t>，</w:t>
      </w:r>
      <w:r>
        <w:rPr>
          <w:rFonts w:hint="default" w:ascii="仿宋_GB2312" w:hAnsi="仿宋_GB2312" w:eastAsia="仿宋_GB2312" w:cs="仿宋_GB2312"/>
          <w:kern w:val="2"/>
          <w:sz w:val="32"/>
          <w:szCs w:val="40"/>
          <w:highlight w:val="none"/>
          <w:lang w:val="en-US" w:eastAsia="zh-CN"/>
        </w:rPr>
        <w:t>不发生大规模随意抛弃病死猪事件</w:t>
      </w:r>
      <w:r>
        <w:rPr>
          <w:rFonts w:hint="eastAsia" w:ascii="仿宋_GB2312" w:hAnsi="仿宋_GB2312" w:eastAsia="仿宋_GB2312" w:cs="仿宋_GB2312"/>
          <w:kern w:val="2"/>
          <w:sz w:val="32"/>
          <w:szCs w:val="40"/>
          <w:highlight w:val="none"/>
          <w:lang w:val="en-US" w:eastAsia="zh"/>
        </w:rPr>
        <w:t>。</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2023年度：支持病死畜禽无害化处理</w:t>
      </w:r>
      <w:r>
        <w:rPr>
          <w:rFonts w:hint="default" w:ascii="仿宋_GB2312" w:hAnsi="仿宋_GB2312" w:eastAsia="仿宋_GB2312" w:cs="仿宋_GB2312"/>
          <w:kern w:val="2"/>
          <w:sz w:val="32"/>
          <w:szCs w:val="40"/>
          <w:highlight w:val="none"/>
          <w:lang w:val="en-US" w:eastAsia="zh-CN"/>
        </w:rPr>
        <w:t>。养殖环节病死猪无害化处理补助数量294432头</w:t>
      </w:r>
      <w:r>
        <w:rPr>
          <w:rFonts w:hint="eastAsia" w:ascii="仿宋_GB2312" w:hAnsi="仿宋_GB2312" w:eastAsia="仿宋_GB2312" w:cs="仿宋_GB2312"/>
          <w:kern w:val="2"/>
          <w:sz w:val="32"/>
          <w:szCs w:val="40"/>
          <w:highlight w:val="none"/>
          <w:lang w:val="en-US" w:eastAsia="zh"/>
        </w:rPr>
        <w:t>。</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2024年度：开展养殖环节病死畜禽无害化处理补助</w:t>
      </w:r>
      <w:r>
        <w:rPr>
          <w:rFonts w:hint="default" w:ascii="仿宋_GB2312" w:hAnsi="仿宋_GB2312" w:eastAsia="仿宋_GB2312" w:cs="仿宋_GB2312"/>
          <w:kern w:val="2"/>
          <w:sz w:val="32"/>
          <w:szCs w:val="40"/>
          <w:highlight w:val="none"/>
          <w:lang w:val="en-US" w:eastAsia="zh-CN"/>
        </w:rPr>
        <w:t>。养殖环节病死猪无害化处理补助数量421339头</w:t>
      </w:r>
      <w:r>
        <w:rPr>
          <w:rFonts w:hint="eastAsia" w:ascii="仿宋_GB2312" w:hAnsi="仿宋_GB2312" w:eastAsia="仿宋_GB2312" w:cs="仿宋_GB2312"/>
          <w:kern w:val="2"/>
          <w:sz w:val="32"/>
          <w:szCs w:val="40"/>
          <w:highlight w:val="none"/>
          <w:lang w:val="en-US" w:eastAsia="zh"/>
        </w:rPr>
        <w:t>。</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CN"/>
        </w:rPr>
        <w:t>（三）与其它省市政策对标分析</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为了进一步评估青岛市养殖环节病死畜禽无害化处理补助政策的有效性和竞争力，本报告选取了大连市和宁波市的相关政策进行对标分析。</w:t>
      </w:r>
    </w:p>
    <w:tbl>
      <w:tblPr>
        <w:tblStyle w:val="29"/>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1"/>
        <w:gridCol w:w="1941"/>
        <w:gridCol w:w="2519"/>
        <w:gridCol w:w="3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1" w:type="dxa"/>
            <w:tcBorders>
              <w:bottom w:val="single" w:color="auto" w:sz="4" w:space="0"/>
            </w:tcBorders>
            <w:shd w:val="clear" w:color="auto" w:fill="808080"/>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CN"/>
              </w:rPr>
            </w:pPr>
            <w:r>
              <w:rPr>
                <w:rFonts w:hint="eastAsia" w:ascii="仿宋_GB2312" w:hAnsi="仿宋_GB2312" w:eastAsia="仿宋_GB2312" w:cs="仿宋_GB2312"/>
                <w:b/>
                <w:bCs/>
                <w:color w:val="auto"/>
                <w:kern w:val="2"/>
                <w:sz w:val="24"/>
                <w:szCs w:val="24"/>
                <w:highlight w:val="none"/>
                <w:shd w:val="clear" w:color="auto" w:fill="auto"/>
                <w:vertAlign w:val="baseline"/>
                <w:lang w:val="en-US" w:eastAsia="zh-CN"/>
              </w:rPr>
              <w:t>城市</w:t>
            </w:r>
          </w:p>
        </w:tc>
        <w:tc>
          <w:tcPr>
            <w:tcW w:w="1941" w:type="dxa"/>
            <w:tcBorders>
              <w:bottom w:val="single" w:color="auto" w:sz="4" w:space="0"/>
            </w:tcBorders>
            <w:shd w:val="clear" w:color="auto" w:fill="808080"/>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CN"/>
              </w:rPr>
            </w:pPr>
            <w:r>
              <w:rPr>
                <w:rFonts w:hint="eastAsia" w:ascii="仿宋_GB2312" w:hAnsi="仿宋_GB2312" w:eastAsia="仿宋_GB2312" w:cs="仿宋_GB2312"/>
                <w:b/>
                <w:bCs/>
                <w:color w:val="auto"/>
                <w:kern w:val="2"/>
                <w:sz w:val="24"/>
                <w:szCs w:val="24"/>
                <w:highlight w:val="none"/>
                <w:shd w:val="clear" w:color="auto" w:fill="auto"/>
                <w:vertAlign w:val="baseline"/>
                <w:lang w:val="en-US" w:eastAsia="zh-CN"/>
              </w:rPr>
              <w:t>补助对象</w:t>
            </w:r>
          </w:p>
        </w:tc>
        <w:tc>
          <w:tcPr>
            <w:tcW w:w="2519" w:type="dxa"/>
            <w:tcBorders>
              <w:bottom w:val="single" w:color="auto" w:sz="4" w:space="0"/>
            </w:tcBorders>
            <w:shd w:val="clear" w:color="auto" w:fill="808080"/>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CN"/>
              </w:rPr>
            </w:pPr>
            <w:r>
              <w:rPr>
                <w:rFonts w:hint="eastAsia" w:ascii="仿宋_GB2312" w:hAnsi="仿宋_GB2312" w:eastAsia="仿宋_GB2312" w:cs="仿宋_GB2312"/>
                <w:b/>
                <w:bCs/>
                <w:color w:val="auto"/>
                <w:kern w:val="2"/>
                <w:sz w:val="24"/>
                <w:szCs w:val="24"/>
                <w:highlight w:val="none"/>
                <w:shd w:val="clear" w:color="auto" w:fill="auto"/>
                <w:vertAlign w:val="baseline"/>
                <w:lang w:val="en-US" w:eastAsia="zh-CN"/>
              </w:rPr>
              <w:t>补助范围</w:t>
            </w:r>
          </w:p>
        </w:tc>
        <w:tc>
          <w:tcPr>
            <w:tcW w:w="3285" w:type="dxa"/>
            <w:tcBorders>
              <w:bottom w:val="single" w:color="auto" w:sz="4" w:space="0"/>
            </w:tcBorders>
            <w:shd w:val="clear" w:color="auto" w:fill="808080"/>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CN"/>
              </w:rPr>
            </w:pPr>
            <w:r>
              <w:rPr>
                <w:rFonts w:hint="eastAsia" w:ascii="仿宋_GB2312" w:hAnsi="仿宋_GB2312" w:eastAsia="仿宋_GB2312" w:cs="仿宋_GB2312"/>
                <w:b/>
                <w:bCs/>
                <w:color w:val="auto"/>
                <w:kern w:val="2"/>
                <w:sz w:val="24"/>
                <w:szCs w:val="24"/>
                <w:highlight w:val="none"/>
                <w:shd w:val="clear" w:color="auto" w:fill="auto"/>
                <w:vertAlign w:val="baseline"/>
                <w:lang w:val="en-US" w:eastAsia="zh-CN"/>
              </w:rPr>
              <w:t>补助标准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color w:val="auto"/>
                <w:kern w:val="2"/>
                <w:sz w:val="48"/>
                <w:szCs w:val="48"/>
                <w:highlight w:val="none"/>
                <w:shd w:val="clear" w:color="auto" w:fill="auto"/>
                <w:vertAlign w:val="baseline"/>
                <w:lang w:val="en-US" w:eastAsia="zh-CN"/>
              </w:rPr>
            </w:pPr>
            <w:r>
              <w:rPr>
                <w:rFonts w:hint="default" w:ascii="仿宋_GB2312" w:hAnsi="仿宋_GB2312" w:eastAsia="仿宋_GB2312" w:cs="仿宋_GB2312"/>
                <w:i w:val="0"/>
                <w:iCs w:val="0"/>
                <w:caps w:val="0"/>
                <w:spacing w:val="6"/>
                <w:sz w:val="22"/>
                <w:szCs w:val="22"/>
                <w:highlight w:val="none"/>
                <w:shd w:val="clear" w:fill="FFFFFF"/>
              </w:rPr>
              <w:t>大连市</w:t>
            </w:r>
          </w:p>
        </w:tc>
        <w:tc>
          <w:tcPr>
            <w:tcW w:w="194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color w:val="auto"/>
                <w:kern w:val="2"/>
                <w:sz w:val="48"/>
                <w:szCs w:val="48"/>
                <w:highlight w:val="none"/>
                <w:shd w:val="clear" w:color="auto" w:fill="auto"/>
                <w:vertAlign w:val="baseline"/>
                <w:lang w:val="en-US" w:eastAsia="zh-CN"/>
              </w:rPr>
            </w:pPr>
            <w:r>
              <w:rPr>
                <w:rFonts w:hint="default" w:ascii="仿宋_GB2312" w:hAnsi="仿宋_GB2312" w:eastAsia="仿宋_GB2312" w:cs="仿宋_GB2312"/>
                <w:i w:val="0"/>
                <w:iCs w:val="0"/>
                <w:caps w:val="0"/>
                <w:spacing w:val="6"/>
                <w:sz w:val="22"/>
                <w:szCs w:val="22"/>
                <w:highlight w:val="none"/>
                <w:shd w:val="clear" w:fill="FFFFFF"/>
              </w:rPr>
              <w:t>集中收集和无害化处理企业</w:t>
            </w:r>
          </w:p>
        </w:tc>
        <w:tc>
          <w:tcPr>
            <w:tcW w:w="2519"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color w:val="auto"/>
                <w:kern w:val="2"/>
                <w:sz w:val="48"/>
                <w:szCs w:val="48"/>
                <w:highlight w:val="none"/>
                <w:shd w:val="clear" w:color="auto" w:fill="auto"/>
                <w:vertAlign w:val="baseline"/>
                <w:lang w:val="en-US" w:eastAsia="zh-CN"/>
              </w:rPr>
            </w:pPr>
            <w:r>
              <w:rPr>
                <w:rFonts w:hint="default" w:ascii="仿宋_GB2312" w:hAnsi="仿宋_GB2312" w:eastAsia="仿宋_GB2312" w:cs="仿宋_GB2312"/>
                <w:i w:val="0"/>
                <w:iCs w:val="0"/>
                <w:caps w:val="0"/>
                <w:spacing w:val="6"/>
                <w:sz w:val="22"/>
                <w:szCs w:val="22"/>
                <w:highlight w:val="none"/>
                <w:shd w:val="clear" w:fill="FFFFFF"/>
              </w:rPr>
              <w:t>病死猪</w:t>
            </w:r>
          </w:p>
        </w:tc>
        <w:tc>
          <w:tcPr>
            <w:tcW w:w="3285"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color w:val="auto"/>
                <w:kern w:val="2"/>
                <w:sz w:val="48"/>
                <w:szCs w:val="48"/>
                <w:highlight w:val="none"/>
                <w:shd w:val="clear" w:color="auto" w:fill="auto"/>
                <w:vertAlign w:val="baseline"/>
                <w:lang w:val="en-US" w:eastAsia="zh"/>
              </w:rPr>
            </w:pPr>
            <w:r>
              <w:rPr>
                <w:rFonts w:hint="default" w:ascii="仿宋_GB2312" w:hAnsi="仿宋_GB2312" w:eastAsia="仿宋_GB2312" w:cs="仿宋_GB2312"/>
                <w:i w:val="0"/>
                <w:iCs w:val="0"/>
                <w:caps w:val="0"/>
                <w:spacing w:val="6"/>
                <w:sz w:val="22"/>
                <w:szCs w:val="22"/>
                <w:highlight w:val="none"/>
                <w:shd w:val="clear" w:fill="FFFFFF"/>
                <w:lang w:val="en-US" w:eastAsia="zh"/>
              </w:rPr>
              <w:t>56</w:t>
            </w:r>
            <w:r>
              <w:rPr>
                <w:rFonts w:hint="default" w:ascii="仿宋_GB2312" w:hAnsi="仿宋_GB2312" w:eastAsia="仿宋_GB2312" w:cs="仿宋_GB2312"/>
                <w:i w:val="0"/>
                <w:iCs w:val="0"/>
                <w:caps w:val="0"/>
                <w:spacing w:val="6"/>
                <w:sz w:val="22"/>
                <w:szCs w:val="22"/>
                <w:highlight w:val="none"/>
                <w:shd w:val="clear" w:fill="FFFFFF"/>
              </w:rPr>
              <w:t>元/头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31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rPr>
              <w:t>宁波市</w:t>
            </w:r>
          </w:p>
        </w:tc>
        <w:tc>
          <w:tcPr>
            <w:tcW w:w="194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rPr>
              <w:t>无害化处理企业</w:t>
            </w:r>
          </w:p>
        </w:tc>
        <w:tc>
          <w:tcPr>
            <w:tcW w:w="2519"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lang w:val="en-US" w:eastAsia="zh-CN"/>
              </w:rPr>
              <w:t>病死畜禽及病害畜禽产品</w:t>
            </w:r>
          </w:p>
        </w:tc>
        <w:tc>
          <w:tcPr>
            <w:tcW w:w="3285"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
              </w:rPr>
            </w:pPr>
            <w:r>
              <w:rPr>
                <w:rFonts w:hint="default" w:ascii="仿宋_GB2312" w:hAnsi="仿宋_GB2312" w:eastAsia="仿宋_GB2312" w:cs="仿宋_GB2312"/>
                <w:i w:val="0"/>
                <w:iCs w:val="0"/>
                <w:caps w:val="0"/>
                <w:spacing w:val="6"/>
                <w:sz w:val="22"/>
                <w:szCs w:val="22"/>
                <w:highlight w:val="none"/>
                <w:shd w:val="clear" w:fill="FFFFFF"/>
                <w:lang w:val="en-US" w:eastAsia="zh"/>
              </w:rPr>
              <w:t>2000元/吨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rPr>
              <w:t>青岛市</w:t>
            </w:r>
          </w:p>
        </w:tc>
        <w:tc>
          <w:tcPr>
            <w:tcW w:w="194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rPr>
              <w:t>集中收集和无害化处理企业、养殖场（户）</w:t>
            </w:r>
          </w:p>
        </w:tc>
        <w:tc>
          <w:tcPr>
            <w:tcW w:w="2519"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lang w:val="en-US" w:eastAsia="zh-CN"/>
              </w:rPr>
              <w:t>病死猪、牛、羊、禽、兔及毛皮动物胴体</w:t>
            </w:r>
          </w:p>
        </w:tc>
        <w:tc>
          <w:tcPr>
            <w:tcW w:w="3285"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rPr>
              <w:t>病死猪体长小于30厘米不予补助，大于30厘米小于70厘米补助60元/头，大于70厘米补助80元/头</w:t>
            </w:r>
          </w:p>
        </w:tc>
      </w:tr>
    </w:tbl>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CN"/>
        </w:rPr>
        <w:t>（四）青岛市畜牧业生产与无害化处理现状分析</w:t>
      </w:r>
    </w:p>
    <w:p>
      <w:pPr>
        <w:widowControl w:val="0"/>
        <w:spacing w:line="600" w:lineRule="exact"/>
        <w:ind w:firstLine="643" w:firstLineChars="200"/>
        <w:jc w:val="both"/>
        <w:outlineLvl w:val="0"/>
        <w:rPr>
          <w:rFonts w:hint="eastAsia" w:ascii="仿宋_GB2312" w:hAnsi="仿宋_GB2312" w:eastAsia="仿宋_GB2312" w:cs="仿宋_GB2312"/>
          <w:b/>
          <w:bCs/>
          <w:color w:val="auto"/>
          <w:kern w:val="2"/>
          <w:sz w:val="32"/>
          <w:szCs w:val="32"/>
          <w:highlight w:val="none"/>
          <w:shd w:val="clear" w:color="auto" w:fill="auto"/>
          <w:lang w:val="en-US" w:eastAsia="zh-CN"/>
        </w:rPr>
      </w:pPr>
      <w:r>
        <w:rPr>
          <w:rFonts w:hint="eastAsia" w:ascii="仿宋_GB2312" w:hAnsi="仿宋_GB2312" w:eastAsia="仿宋_GB2312" w:cs="仿宋_GB2312"/>
          <w:b/>
          <w:bCs/>
          <w:color w:val="auto"/>
          <w:kern w:val="2"/>
          <w:sz w:val="32"/>
          <w:szCs w:val="32"/>
          <w:highlight w:val="none"/>
          <w:shd w:val="clear" w:color="auto" w:fill="auto"/>
          <w:lang w:val="en-US" w:eastAsia="zh-CN"/>
        </w:rPr>
        <w:t>1.2021—2024年青岛市畜牧业生产规模变化情况。</w:t>
      </w:r>
    </w:p>
    <w:p>
      <w:pPr>
        <w:pStyle w:val="2"/>
        <w:rPr>
          <w:rFonts w:hint="eastAsia"/>
          <w:lang w:val="en-US" w:eastAsia="zh-CN"/>
        </w:rPr>
      </w:pPr>
    </w:p>
    <w:p>
      <w:pPr>
        <w:widowControl w:val="0"/>
        <w:spacing w:line="600" w:lineRule="exact"/>
        <w:ind w:firstLine="480" w:firstLineChars="200"/>
        <w:jc w:val="center"/>
        <w:outlineLvl w:val="0"/>
        <w:rPr>
          <w:rFonts w:hint="eastAsia"/>
          <w:lang w:eastAsia="zh-CN"/>
        </w:rPr>
      </w:pPr>
      <w:r>
        <w:rPr>
          <w:rFonts w:hint="eastAsia" w:ascii="黑体" w:hAnsi="黑体" w:eastAsia="黑体" w:cs="黑体"/>
          <w:color w:val="auto"/>
          <w:kern w:val="2"/>
          <w:sz w:val="24"/>
          <w:szCs w:val="24"/>
          <w:highlight w:val="none"/>
          <w:shd w:val="clear" w:color="auto" w:fill="auto"/>
          <w:lang w:val="en-US" w:eastAsia="zh-CN"/>
        </w:rPr>
        <w:t>表</w:t>
      </w:r>
      <w:r>
        <w:rPr>
          <w:rFonts w:hint="eastAsia" w:ascii="黑体" w:hAnsi="黑体" w:eastAsia="黑体" w:cs="黑体"/>
          <w:color w:val="auto"/>
          <w:kern w:val="2"/>
          <w:sz w:val="24"/>
          <w:szCs w:val="24"/>
          <w:highlight w:val="none"/>
          <w:shd w:val="clear" w:color="auto" w:fill="auto"/>
          <w:lang w:val="en-US" w:eastAsia="zh"/>
        </w:rPr>
        <w:t>3</w:t>
      </w:r>
      <w:r>
        <w:rPr>
          <w:rFonts w:hint="eastAsia" w:ascii="黑体" w:hAnsi="黑体" w:eastAsia="黑体" w:cs="黑体"/>
          <w:color w:val="auto"/>
          <w:kern w:val="2"/>
          <w:sz w:val="24"/>
          <w:szCs w:val="24"/>
          <w:highlight w:val="none"/>
          <w:shd w:val="clear" w:color="auto" w:fill="auto"/>
          <w:lang w:val="en-US" w:eastAsia="zh-CN"/>
        </w:rPr>
        <w:t>：2021年-2024年</w:t>
      </w:r>
      <w:r>
        <w:rPr>
          <w:rFonts w:hint="eastAsia" w:ascii="黑体" w:hAnsi="黑体" w:eastAsia="黑体" w:cs="黑体"/>
          <w:color w:val="auto"/>
          <w:kern w:val="2"/>
          <w:sz w:val="24"/>
          <w:szCs w:val="24"/>
          <w:highlight w:val="none"/>
          <w:shd w:val="clear" w:color="auto" w:fill="auto"/>
          <w:lang w:eastAsia="zh-CN"/>
        </w:rPr>
        <w:t>青岛市各</w:t>
      </w:r>
      <w:r>
        <w:rPr>
          <w:rFonts w:hint="eastAsia" w:ascii="黑体" w:hAnsi="黑体" w:eastAsia="黑体" w:cs="黑体"/>
          <w:color w:val="auto"/>
          <w:kern w:val="2"/>
          <w:sz w:val="24"/>
          <w:szCs w:val="24"/>
          <w:highlight w:val="none"/>
          <w:shd w:val="clear" w:color="auto" w:fill="auto"/>
          <w:lang w:eastAsia="zh"/>
        </w:rPr>
        <w:t>区（市）</w:t>
      </w:r>
      <w:r>
        <w:rPr>
          <w:rFonts w:hint="eastAsia" w:ascii="黑体" w:hAnsi="黑体" w:eastAsia="黑体" w:cs="黑体"/>
          <w:color w:val="auto"/>
          <w:kern w:val="2"/>
          <w:sz w:val="24"/>
          <w:szCs w:val="24"/>
          <w:highlight w:val="none"/>
          <w:shd w:val="clear" w:color="auto" w:fill="auto"/>
          <w:lang w:eastAsia="zh-CN"/>
        </w:rPr>
        <w:t>主要</w:t>
      </w:r>
    </w:p>
    <w:p>
      <w:pPr>
        <w:widowControl w:val="0"/>
        <w:spacing w:line="600" w:lineRule="exact"/>
        <w:ind w:firstLine="480" w:firstLineChars="200"/>
        <w:jc w:val="center"/>
        <w:outlineLvl w:val="0"/>
        <w:rPr>
          <w:rFonts w:hint="eastAsia"/>
          <w:lang w:val="en-US" w:eastAsia="zh"/>
        </w:rPr>
      </w:pPr>
      <w:r>
        <w:rPr>
          <w:rFonts w:hint="eastAsia" w:ascii="黑体" w:hAnsi="黑体" w:eastAsia="黑体" w:cs="黑体"/>
          <w:color w:val="auto"/>
          <w:kern w:val="2"/>
          <w:sz w:val="24"/>
          <w:szCs w:val="24"/>
          <w:highlight w:val="none"/>
          <w:shd w:val="clear" w:color="auto" w:fill="auto"/>
          <w:lang w:eastAsia="zh-CN"/>
        </w:rPr>
        <w:t>畜禽存栏量</w:t>
      </w:r>
      <w:r>
        <w:rPr>
          <w:rFonts w:hint="eastAsia" w:ascii="黑体" w:hAnsi="黑体" w:eastAsia="黑体" w:cs="黑体"/>
          <w:color w:val="auto"/>
          <w:kern w:val="2"/>
          <w:sz w:val="24"/>
          <w:szCs w:val="24"/>
          <w:highlight w:val="none"/>
          <w:shd w:val="clear" w:color="auto" w:fill="auto"/>
          <w:lang w:eastAsia="zh"/>
        </w:rPr>
        <w:t>和出栏量</w:t>
      </w:r>
    </w:p>
    <w:tbl>
      <w:tblPr>
        <w:tblStyle w:val="29"/>
        <w:tblW w:w="89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1856"/>
        <w:gridCol w:w="1795"/>
        <w:gridCol w:w="1951"/>
        <w:gridCol w:w="2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009"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18"/>
                <w:szCs w:val="18"/>
                <w:highlight w:val="none"/>
                <w:shd w:val="clear" w:color="auto" w:fill="auto"/>
                <w:vertAlign w:val="baseline"/>
                <w:lang w:val="en-US" w:eastAsia="zh" w:bidi="ar-SA"/>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区（市）</w:t>
            </w:r>
          </w:p>
        </w:tc>
        <w:tc>
          <w:tcPr>
            <w:tcW w:w="1856"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bidi="ar-SA"/>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猪</w:t>
            </w: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（头）</w:t>
            </w:r>
          </w:p>
        </w:tc>
        <w:tc>
          <w:tcPr>
            <w:tcW w:w="1795"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bidi="ar-SA"/>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牛</w:t>
            </w: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（头）</w:t>
            </w:r>
          </w:p>
        </w:tc>
        <w:tc>
          <w:tcPr>
            <w:tcW w:w="1951"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bidi="ar-SA"/>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羊</w:t>
            </w: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（只）</w:t>
            </w:r>
          </w:p>
        </w:tc>
        <w:tc>
          <w:tcPr>
            <w:tcW w:w="2316"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firstLine="0" w:firstLine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禽（只）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即墨</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2,823,019.00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127,266.00</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177,659.00</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185,516,358.00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胶州</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2,277,835.00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79,241.00</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345,306.00</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44,130,872.00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平度</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4,547,189.00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105,345.00</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896,001.00</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343,610,545.00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莱西</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4,120,072.00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429,597.00</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344,525.00</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411,709,729.00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西海岸</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2,336,935.00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159,354.00</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302,131.00</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85,889,275.00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城阳</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91,810.00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
              </w:rPr>
            </w:pPr>
            <w:r>
              <w:rPr>
                <w:rFonts w:hint="eastAsia" w:ascii="仿宋" w:hAnsi="仿宋" w:eastAsia="仿宋" w:cs="仿宋"/>
                <w:i w:val="0"/>
                <w:iCs w:val="0"/>
                <w:caps w:val="0"/>
                <w:spacing w:val="6"/>
                <w:sz w:val="24"/>
                <w:szCs w:val="24"/>
                <w:highlight w:val="none"/>
                <w:shd w:val="clear" w:fill="FFFFFF"/>
                <w:lang w:val="en-US" w:eastAsia="zh"/>
              </w:rPr>
              <w:t>/</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
              </w:rPr>
            </w:pPr>
            <w:r>
              <w:rPr>
                <w:rFonts w:hint="eastAsia" w:ascii="仿宋" w:hAnsi="仿宋" w:eastAsia="仿宋" w:cs="仿宋"/>
                <w:i w:val="0"/>
                <w:iCs w:val="0"/>
                <w:caps w:val="0"/>
                <w:spacing w:val="6"/>
                <w:sz w:val="24"/>
                <w:szCs w:val="24"/>
                <w:highlight w:val="none"/>
                <w:shd w:val="clear" w:fill="FFFFFF"/>
                <w:lang w:val="en-US" w:eastAsia="zh"/>
              </w:rPr>
              <w:t>/</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
              </w:rPr>
            </w:pPr>
            <w:r>
              <w:rPr>
                <w:rFonts w:hint="eastAsia" w:ascii="仿宋" w:hAnsi="仿宋" w:eastAsia="仿宋" w:cs="仿宋"/>
                <w:i w:val="0"/>
                <w:iCs w:val="0"/>
                <w:caps w:val="0"/>
                <w:spacing w:val="6"/>
                <w:sz w:val="24"/>
                <w:szCs w:val="24"/>
                <w:highlight w:val="none"/>
                <w:shd w:val="clear" w:fill="FFFFFF"/>
                <w:lang w:val="en-US" w:eastAsia="zh"/>
              </w:rPr>
              <w:t>/</w:t>
            </w:r>
          </w:p>
        </w:tc>
      </w:tr>
    </w:tbl>
    <w:p>
      <w:pPr>
        <w:widowControl w:val="0"/>
        <w:spacing w:line="600" w:lineRule="exact"/>
        <w:ind w:firstLine="0" w:firstLineChars="0"/>
        <w:jc w:val="both"/>
        <w:outlineLvl w:val="0"/>
        <w:rPr>
          <w:rFonts w:hint="eastAsia"/>
          <w:lang w:val="en-US" w:eastAsia="zh-CN"/>
        </w:rPr>
      </w:pPr>
      <w:r>
        <w:rPr>
          <w:rFonts w:hint="eastAsia" w:ascii="楷体_GB2312" w:hAnsi="楷体_GB2312" w:eastAsia="楷体_GB2312" w:cs="楷体_GB2312"/>
          <w:color w:val="auto"/>
          <w:kern w:val="2"/>
          <w:sz w:val="24"/>
          <w:szCs w:val="24"/>
          <w:highlight w:val="none"/>
          <w:shd w:val="clear" w:color="auto" w:fill="auto"/>
          <w:lang w:val="en-US" w:eastAsia="zh-CN"/>
        </w:rPr>
        <w:t>数据来源:2021年青岛全年分</w:t>
      </w:r>
      <w:r>
        <w:rPr>
          <w:rFonts w:hint="eastAsia" w:ascii="楷体_GB2312" w:hAnsi="楷体_GB2312" w:eastAsia="楷体_GB2312" w:cs="楷体_GB2312"/>
          <w:color w:val="auto"/>
          <w:kern w:val="2"/>
          <w:sz w:val="24"/>
          <w:szCs w:val="24"/>
          <w:highlight w:val="none"/>
          <w:shd w:val="clear" w:color="auto" w:fill="auto"/>
          <w:lang w:val="en-US" w:eastAsia="zh"/>
        </w:rPr>
        <w:t>区（市）</w:t>
      </w:r>
      <w:r>
        <w:rPr>
          <w:rFonts w:hint="eastAsia" w:ascii="楷体_GB2312" w:hAnsi="楷体_GB2312" w:eastAsia="楷体_GB2312" w:cs="楷体_GB2312"/>
          <w:color w:val="auto"/>
          <w:kern w:val="2"/>
          <w:sz w:val="24"/>
          <w:szCs w:val="24"/>
          <w:highlight w:val="none"/>
          <w:shd w:val="clear" w:color="auto" w:fill="auto"/>
          <w:lang w:val="en-US" w:eastAsia="zh-CN"/>
        </w:rPr>
        <w:t>畜牧业调查数据、2022年青岛市畜牧生产数据、2023年青岛市畜牧业分县核定数据、2024年全年主要畜禽生产情况分县核定数据</w:t>
      </w:r>
    </w:p>
    <w:p>
      <w:pPr>
        <w:widowControl w:val="0"/>
        <w:spacing w:line="600" w:lineRule="exact"/>
        <w:ind w:firstLine="643" w:firstLineChars="200"/>
        <w:jc w:val="both"/>
        <w:outlineLvl w:val="0"/>
        <w:rPr>
          <w:rFonts w:hint="eastAsia" w:ascii="楷体_GB2312" w:hAnsi="楷体_GB2312" w:eastAsia="楷体_GB2312" w:cs="楷体_GB2312"/>
          <w:color w:val="auto"/>
          <w:kern w:val="2"/>
          <w:sz w:val="32"/>
          <w:szCs w:val="32"/>
          <w:highlight w:val="none"/>
          <w:shd w:val="clear" w:color="auto" w:fill="auto"/>
          <w:lang w:val="en-US" w:eastAsia="zh-CN"/>
        </w:rPr>
      </w:pPr>
      <w:r>
        <w:rPr>
          <w:rFonts w:hint="eastAsia" w:ascii="仿宋_GB2312" w:hAnsi="仿宋_GB2312" w:eastAsia="仿宋_GB2312" w:cs="仿宋_GB2312"/>
          <w:b/>
          <w:bCs/>
          <w:color w:val="auto"/>
          <w:kern w:val="2"/>
          <w:sz w:val="32"/>
          <w:szCs w:val="32"/>
          <w:highlight w:val="none"/>
          <w:shd w:val="clear" w:color="auto" w:fill="auto"/>
          <w:lang w:val="en-US" w:eastAsia="zh-CN"/>
        </w:rPr>
        <w:t>2.病死畜禽无害化处理量统计分析。</w:t>
      </w:r>
    </w:p>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表</w:t>
      </w:r>
      <w:r>
        <w:rPr>
          <w:rFonts w:hint="eastAsia" w:ascii="黑体" w:hAnsi="黑体" w:eastAsia="黑体" w:cs="黑体"/>
          <w:color w:val="auto"/>
          <w:kern w:val="2"/>
          <w:sz w:val="24"/>
          <w:szCs w:val="24"/>
          <w:highlight w:val="none"/>
          <w:shd w:val="clear" w:color="auto" w:fill="auto"/>
          <w:lang w:val="en-US" w:eastAsia="zh"/>
        </w:rPr>
        <w:t>4</w:t>
      </w:r>
      <w:r>
        <w:rPr>
          <w:rFonts w:hint="eastAsia" w:ascii="黑体" w:hAnsi="黑体" w:eastAsia="黑体" w:cs="黑体"/>
          <w:color w:val="auto"/>
          <w:kern w:val="2"/>
          <w:sz w:val="24"/>
          <w:szCs w:val="24"/>
          <w:highlight w:val="none"/>
          <w:shd w:val="clear" w:color="auto" w:fill="auto"/>
          <w:lang w:val="en-US" w:eastAsia="zh-CN"/>
        </w:rPr>
        <w:t>：青岛市各</w:t>
      </w:r>
      <w:r>
        <w:rPr>
          <w:rFonts w:hint="eastAsia" w:ascii="黑体" w:hAnsi="黑体" w:eastAsia="黑体" w:cs="黑体"/>
          <w:color w:val="auto"/>
          <w:kern w:val="2"/>
          <w:sz w:val="24"/>
          <w:szCs w:val="24"/>
          <w:highlight w:val="none"/>
          <w:shd w:val="clear" w:color="auto" w:fill="auto"/>
          <w:lang w:val="en-US" w:eastAsia="zh"/>
        </w:rPr>
        <w:t>区（市）</w:t>
      </w:r>
      <w:r>
        <w:rPr>
          <w:rFonts w:hint="eastAsia" w:ascii="黑体" w:hAnsi="黑体" w:eastAsia="黑体" w:cs="黑体"/>
          <w:color w:val="auto"/>
          <w:kern w:val="2"/>
          <w:sz w:val="24"/>
          <w:szCs w:val="24"/>
          <w:highlight w:val="none"/>
          <w:shd w:val="clear" w:color="auto" w:fill="auto"/>
          <w:lang w:val="en-US" w:eastAsia="zh-CN"/>
        </w:rPr>
        <w:t>病死畜禽无害化处理数量对比</w:t>
      </w:r>
    </w:p>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（猪、牛、羊）（2021-2024年）</w:t>
      </w:r>
    </w:p>
    <w:p>
      <w:pPr>
        <w:pStyle w:val="2"/>
        <w:jc w:val="right"/>
        <w:rPr>
          <w:rFonts w:hint="default"/>
          <w:highlight w:val="none"/>
          <w:lang w:val="en-US" w:eastAsia="zh-CN"/>
        </w:rPr>
      </w:pPr>
      <w:r>
        <w:rPr>
          <w:rFonts w:hint="eastAsia" w:ascii="楷体_GB2312" w:hAnsi="楷体_GB2312" w:eastAsia="楷体_GB2312" w:cs="楷体_GB2312"/>
          <w:color w:val="auto"/>
          <w:kern w:val="2"/>
          <w:sz w:val="24"/>
          <w:szCs w:val="24"/>
          <w:highlight w:val="none"/>
          <w:shd w:val="clear" w:color="auto" w:fill="auto"/>
          <w:lang w:val="en-US" w:eastAsia="zh-CN"/>
        </w:rPr>
        <w:t>单位：头</w:t>
      </w:r>
    </w:p>
    <w:tbl>
      <w:tblPr>
        <w:tblStyle w:val="29"/>
        <w:tblW w:w="87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7"/>
        <w:gridCol w:w="2137"/>
        <w:gridCol w:w="1867"/>
        <w:gridCol w:w="1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2737" w:type="dxa"/>
            <w:vMerge w:val="restart"/>
            <w:shd w:val="clear" w:color="auto" w:fill="80808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楷体_GB2312" w:hAnsi="楷体_GB2312" w:eastAsia="楷体_GB2312" w:cs="楷体_GB2312"/>
                <w:b/>
                <w:bCs/>
                <w:color w:val="auto"/>
                <w:kern w:val="2"/>
                <w:sz w:val="18"/>
                <w:szCs w:val="18"/>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区（市）</w:t>
            </w:r>
          </w:p>
        </w:tc>
        <w:tc>
          <w:tcPr>
            <w:tcW w:w="5991" w:type="dxa"/>
            <w:gridSpan w:val="3"/>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2021-2024年无害化处理数量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2737" w:type="dxa"/>
            <w:vMerge w:val="continue"/>
            <w:shd w:val="clear" w:color="auto" w:fill="80808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楷体_GB2312" w:hAnsi="楷体_GB2312" w:eastAsia="楷体_GB2312" w:cs="楷体_GB2312"/>
                <w:b/>
                <w:bCs/>
                <w:color w:val="auto"/>
                <w:kern w:val="2"/>
                <w:sz w:val="18"/>
                <w:szCs w:val="18"/>
                <w:highlight w:val="none"/>
                <w:shd w:val="clear" w:color="auto" w:fill="auto"/>
                <w:vertAlign w:val="baseline"/>
                <w:lang w:val="en-US" w:eastAsia="zh-CN"/>
              </w:rPr>
            </w:pPr>
          </w:p>
        </w:tc>
        <w:tc>
          <w:tcPr>
            <w:tcW w:w="2137"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猪</w:t>
            </w:r>
          </w:p>
        </w:tc>
        <w:tc>
          <w:tcPr>
            <w:tcW w:w="1867"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牛</w:t>
            </w:r>
          </w:p>
        </w:tc>
        <w:tc>
          <w:tcPr>
            <w:tcW w:w="1987"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即墨</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175,939.00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1,979.00</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4372.00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胶州</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113,162.00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
              </w:rPr>
            </w:pPr>
            <w:r>
              <w:rPr>
                <w:rFonts w:hint="default" w:ascii="仿宋" w:hAnsi="仿宋" w:eastAsia="仿宋" w:cs="仿宋"/>
                <w:color w:val="auto"/>
                <w:kern w:val="2"/>
                <w:sz w:val="24"/>
                <w:szCs w:val="24"/>
                <w:highlight w:val="none"/>
                <w:shd w:val="clear" w:color="auto" w:fill="auto"/>
                <w:vertAlign w:val="baseline"/>
                <w:lang w:val="en-US" w:eastAsia="zh"/>
              </w:rPr>
              <w:t>615.00</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3,570.00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平度</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557,783.00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
              </w:rPr>
            </w:pPr>
            <w:r>
              <w:rPr>
                <w:rFonts w:hint="default" w:ascii="仿宋" w:hAnsi="仿宋" w:eastAsia="仿宋" w:cs="仿宋"/>
                <w:color w:val="auto"/>
                <w:kern w:val="2"/>
                <w:sz w:val="24"/>
                <w:szCs w:val="24"/>
                <w:highlight w:val="none"/>
                <w:shd w:val="clear" w:color="auto" w:fill="auto"/>
                <w:vertAlign w:val="baseline"/>
                <w:lang w:val="en-US" w:eastAsia="zh"/>
              </w:rPr>
              <w:t>881.00</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
              </w:rPr>
            </w:pPr>
            <w:r>
              <w:rPr>
                <w:rFonts w:hint="default" w:ascii="仿宋" w:hAnsi="仿宋" w:eastAsia="仿宋" w:cs="仿宋"/>
                <w:color w:val="auto"/>
                <w:kern w:val="2"/>
                <w:sz w:val="24"/>
                <w:szCs w:val="24"/>
                <w:highlight w:val="none"/>
                <w:shd w:val="clear" w:color="auto" w:fill="auto"/>
                <w:vertAlign w:val="baseline"/>
                <w:lang w:val="en-US" w:eastAsia="zh"/>
              </w:rPr>
              <w:t>589.00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莱西</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173,052.00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
              </w:rPr>
            </w:pPr>
            <w:r>
              <w:rPr>
                <w:rFonts w:hint="default" w:ascii="仿宋" w:hAnsi="仿宋" w:eastAsia="仿宋" w:cs="仿宋"/>
                <w:color w:val="auto"/>
                <w:kern w:val="2"/>
                <w:sz w:val="24"/>
                <w:szCs w:val="24"/>
                <w:highlight w:val="none"/>
                <w:shd w:val="clear" w:color="auto" w:fill="auto"/>
                <w:vertAlign w:val="baseline"/>
                <w:lang w:val="en-US" w:eastAsia="zh-CN"/>
              </w:rPr>
              <w:t>18,144</w:t>
            </w:r>
            <w:r>
              <w:rPr>
                <w:rFonts w:hint="default" w:ascii="仿宋" w:hAnsi="仿宋" w:eastAsia="仿宋" w:cs="仿宋"/>
                <w:color w:val="auto"/>
                <w:kern w:val="2"/>
                <w:sz w:val="24"/>
                <w:szCs w:val="24"/>
                <w:highlight w:val="none"/>
                <w:shd w:val="clear" w:color="auto" w:fill="auto"/>
                <w:vertAlign w:val="baseline"/>
                <w:lang w:val="en-US" w:eastAsia="zh"/>
              </w:rPr>
              <w:t>.00</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
              </w:rPr>
            </w:pPr>
            <w:r>
              <w:rPr>
                <w:rFonts w:hint="default" w:ascii="仿宋" w:hAnsi="仿宋" w:eastAsia="仿宋" w:cs="仿宋"/>
                <w:color w:val="auto"/>
                <w:kern w:val="2"/>
                <w:sz w:val="24"/>
                <w:szCs w:val="24"/>
                <w:highlight w:val="none"/>
                <w:shd w:val="clear" w:color="auto" w:fill="auto"/>
                <w:vertAlign w:val="baseline"/>
                <w:lang w:val="en-US" w:eastAsia="zh"/>
              </w:rPr>
              <w:t>635.00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西海岸</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194,652.00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1,221.00</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8,005.00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城阳</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34,271.00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合计</w:t>
            </w:r>
          </w:p>
        </w:tc>
        <w:tc>
          <w:tcPr>
            <w:tcW w:w="213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highlight w:val="none"/>
                <w:u w:val="none"/>
                <w:lang w:val="en-US" w:eastAsia="zh-CN" w:bidi="ar"/>
              </w:rPr>
              <w:t>1,248,859.00</w:t>
            </w:r>
          </w:p>
        </w:tc>
        <w:tc>
          <w:tcPr>
            <w:tcW w:w="186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highlight w:val="none"/>
                <w:u w:val="none"/>
                <w:lang w:val="en-US" w:eastAsia="zh-CN" w:bidi="ar"/>
              </w:rPr>
              <w:t>5,367,968.00</w:t>
            </w:r>
          </w:p>
        </w:tc>
        <w:tc>
          <w:tcPr>
            <w:tcW w:w="198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highlight w:val="none"/>
                <w:u w:val="none"/>
                <w:lang w:val="en-US" w:eastAsia="zh-CN" w:bidi="ar"/>
              </w:rPr>
              <w:t>141,466.00</w:t>
            </w:r>
          </w:p>
        </w:tc>
      </w:tr>
    </w:tbl>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表</w:t>
      </w:r>
      <w:r>
        <w:rPr>
          <w:rFonts w:hint="eastAsia" w:ascii="黑体" w:hAnsi="黑体" w:eastAsia="黑体" w:cs="黑体"/>
          <w:color w:val="auto"/>
          <w:kern w:val="2"/>
          <w:sz w:val="24"/>
          <w:szCs w:val="24"/>
          <w:highlight w:val="none"/>
          <w:shd w:val="clear" w:color="auto" w:fill="auto"/>
          <w:lang w:val="en-US" w:eastAsia="zh"/>
        </w:rPr>
        <w:t>5</w:t>
      </w:r>
      <w:r>
        <w:rPr>
          <w:rFonts w:hint="eastAsia" w:ascii="黑体" w:hAnsi="黑体" w:eastAsia="黑体" w:cs="黑体"/>
          <w:color w:val="auto"/>
          <w:kern w:val="2"/>
          <w:sz w:val="24"/>
          <w:szCs w:val="24"/>
          <w:highlight w:val="none"/>
          <w:shd w:val="clear" w:color="auto" w:fill="auto"/>
          <w:lang w:val="en-US" w:eastAsia="zh-CN"/>
        </w:rPr>
        <w:t>：青岛市各</w:t>
      </w:r>
      <w:r>
        <w:rPr>
          <w:rFonts w:hint="eastAsia" w:ascii="黑体" w:hAnsi="黑体" w:eastAsia="黑体" w:cs="黑体"/>
          <w:color w:val="auto"/>
          <w:kern w:val="2"/>
          <w:sz w:val="24"/>
          <w:szCs w:val="24"/>
          <w:highlight w:val="none"/>
          <w:shd w:val="clear" w:color="auto" w:fill="auto"/>
          <w:lang w:val="en-US" w:eastAsia="zh"/>
        </w:rPr>
        <w:t>区（市）</w:t>
      </w:r>
      <w:r>
        <w:rPr>
          <w:rFonts w:hint="eastAsia" w:ascii="黑体" w:hAnsi="黑体" w:eastAsia="黑体" w:cs="黑体"/>
          <w:color w:val="auto"/>
          <w:kern w:val="2"/>
          <w:sz w:val="24"/>
          <w:szCs w:val="24"/>
          <w:highlight w:val="none"/>
          <w:shd w:val="clear" w:color="auto" w:fill="auto"/>
          <w:lang w:val="en-US" w:eastAsia="zh-CN"/>
        </w:rPr>
        <w:t>病死畜禽无害化处理重量对比</w:t>
      </w:r>
    </w:p>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（家禽、兔、毛皮动物胴体）（2021-2024年）</w:t>
      </w:r>
    </w:p>
    <w:p>
      <w:pPr>
        <w:widowControl w:val="0"/>
        <w:spacing w:line="600" w:lineRule="exact"/>
        <w:ind w:firstLine="480" w:firstLineChars="200"/>
        <w:jc w:val="right"/>
        <w:outlineLvl w:val="0"/>
        <w:rPr>
          <w:rFonts w:hint="eastAsia" w:ascii="楷体_GB2312" w:hAnsi="楷体_GB2312" w:eastAsia="楷体_GB2312" w:cs="楷体_GB2312"/>
          <w:color w:val="auto"/>
          <w:kern w:val="2"/>
          <w:sz w:val="32"/>
          <w:szCs w:val="32"/>
          <w:highlight w:val="none"/>
          <w:shd w:val="clear" w:color="auto" w:fill="auto"/>
          <w:lang w:val="en-US" w:eastAsia="zh"/>
        </w:rPr>
      </w:pPr>
      <w:r>
        <w:rPr>
          <w:rFonts w:hint="eastAsia" w:ascii="楷体_GB2312" w:hAnsi="楷体_GB2312" w:eastAsia="楷体_GB2312" w:cs="楷体_GB2312"/>
          <w:color w:val="auto"/>
          <w:kern w:val="2"/>
          <w:sz w:val="24"/>
          <w:szCs w:val="24"/>
          <w:highlight w:val="none"/>
          <w:shd w:val="clear" w:color="auto" w:fill="auto"/>
          <w:lang w:val="en-US" w:eastAsia="zh-CN"/>
        </w:rPr>
        <w:t>单位：</w:t>
      </w:r>
      <w:r>
        <w:rPr>
          <w:rFonts w:hint="eastAsia" w:ascii="楷体_GB2312" w:hAnsi="楷体_GB2312" w:eastAsia="楷体_GB2312" w:cs="楷体_GB2312"/>
          <w:color w:val="auto"/>
          <w:kern w:val="2"/>
          <w:sz w:val="24"/>
          <w:szCs w:val="24"/>
          <w:highlight w:val="none"/>
          <w:shd w:val="clear" w:color="auto" w:fill="auto"/>
          <w:lang w:val="en-US" w:eastAsia="zh"/>
        </w:rPr>
        <w:t>kg</w:t>
      </w:r>
    </w:p>
    <w:tbl>
      <w:tblPr>
        <w:tblStyle w:val="29"/>
        <w:tblW w:w="88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2205"/>
        <w:gridCol w:w="1767"/>
        <w:gridCol w:w="1944"/>
        <w:gridCol w:w="1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066" w:type="dxa"/>
            <w:vMerge w:val="restart"/>
            <w:shd w:val="clear" w:color="auto" w:fill="808080"/>
            <w:vAlign w:val="center"/>
          </w:tcPr>
          <w:p>
            <w:pPr>
              <w:keepNext w:val="0"/>
              <w:keepLines w:val="0"/>
              <w:widowControl/>
              <w:suppressLineNumbers w:val="0"/>
              <w:spacing w:before="0" w:beforeAutospacing="0" w:after="0" w:afterAutospacing="0"/>
              <w:ind w:left="0" w:right="0"/>
              <w:jc w:val="center"/>
              <w:textAlignment w:val="center"/>
              <w:rPr>
                <w:rFonts w:hint="eastAsia" w:ascii="楷体_GB2312" w:hAnsi="楷体_GB2312" w:eastAsia="楷体_GB2312" w:cs="楷体_GB2312"/>
                <w:b/>
                <w:bCs/>
                <w:color w:val="auto"/>
                <w:kern w:val="2"/>
                <w:sz w:val="18"/>
                <w:szCs w:val="18"/>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区（市）</w:t>
            </w:r>
          </w:p>
        </w:tc>
        <w:tc>
          <w:tcPr>
            <w:tcW w:w="7779" w:type="dxa"/>
            <w:gridSpan w:val="4"/>
            <w:shd w:val="clear" w:color="auto" w:fill="808080"/>
            <w:vAlign w:val="center"/>
          </w:tcPr>
          <w:p>
            <w:pPr>
              <w:keepNext w:val="0"/>
              <w:keepLines w:val="0"/>
              <w:widowControl w:val="0"/>
              <w:suppressLineNumbers w:val="0"/>
              <w:spacing w:before="0" w:beforeAutospacing="0" w:after="0" w:afterAutospacing="0" w:line="600" w:lineRule="exact"/>
              <w:ind w:left="0" w:leftChars="0" w:right="0" w:firstLine="0" w:firstLine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2021-2024年无害化处理重量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066" w:type="dxa"/>
            <w:vMerge w:val="continue"/>
            <w:shd w:val="clear" w:color="auto" w:fill="808080"/>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b/>
                <w:bCs/>
                <w:color w:val="auto"/>
                <w:kern w:val="2"/>
                <w:sz w:val="18"/>
                <w:szCs w:val="18"/>
                <w:highlight w:val="none"/>
                <w:shd w:val="clear" w:color="auto" w:fill="auto"/>
                <w:vertAlign w:val="baseline"/>
                <w:lang w:val="en-US" w:eastAsia="zh-CN"/>
              </w:rPr>
            </w:pPr>
          </w:p>
        </w:tc>
        <w:tc>
          <w:tcPr>
            <w:tcW w:w="2205"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鸡</w:t>
            </w:r>
          </w:p>
        </w:tc>
        <w:tc>
          <w:tcPr>
            <w:tcW w:w="1767"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鸭</w:t>
            </w:r>
          </w:p>
        </w:tc>
        <w:tc>
          <w:tcPr>
            <w:tcW w:w="1944"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兔</w:t>
            </w:r>
          </w:p>
        </w:tc>
        <w:tc>
          <w:tcPr>
            <w:tcW w:w="1863"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毛皮动物胴体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即墨</w:t>
            </w:r>
          </w:p>
        </w:tc>
        <w:tc>
          <w:tcPr>
            <w:tcW w:w="3972" w:type="dxa"/>
            <w:gridSpan w:val="2"/>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14,740,434.99</w:t>
            </w:r>
          </w:p>
        </w:tc>
        <w:tc>
          <w:tcPr>
            <w:tcW w:w="1944" w:type="dxa"/>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863" w:type="dxa"/>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胶州</w:t>
            </w:r>
          </w:p>
        </w:tc>
        <w:tc>
          <w:tcPr>
            <w:tcW w:w="2205"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highlight w:val="none"/>
                <w:u w:val="none"/>
                <w:lang w:val="en-US" w:eastAsia="zh-CN" w:bidi="ar"/>
              </w:rPr>
              <w:t>577,283.30</w:t>
            </w:r>
          </w:p>
        </w:tc>
        <w:tc>
          <w:tcPr>
            <w:tcW w:w="1767" w:type="dxa"/>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944"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highlight w:val="none"/>
                <w:u w:val="none"/>
                <w:lang w:val="en-US" w:eastAsia="zh-CN" w:bidi="ar"/>
              </w:rPr>
              <w:t>460.00</w:t>
            </w:r>
          </w:p>
        </w:tc>
        <w:tc>
          <w:tcPr>
            <w:tcW w:w="1863" w:type="dxa"/>
            <w:vAlign w:val="center"/>
          </w:tcPr>
          <w:p>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仿宋" w:hAnsi="仿宋" w:eastAsia="仿宋" w:cs="仿宋"/>
                <w:i w:val="0"/>
                <w:iCs w:val="0"/>
                <w:color w:val="000000"/>
                <w:kern w:val="0"/>
                <w:sz w:val="24"/>
                <w:szCs w:val="24"/>
                <w:highlight w:val="none"/>
                <w:u w:val="none"/>
                <w:lang w:val="en-US" w:eastAsia="zh" w:bidi="ar"/>
              </w:rPr>
            </w:pPr>
            <w:r>
              <w:rPr>
                <w:rFonts w:hint="eastAsia" w:ascii="仿宋" w:hAnsi="仿宋" w:eastAsia="仿宋" w:cs="仿宋"/>
                <w:i w:val="0"/>
                <w:iCs w:val="0"/>
                <w:color w:val="000000"/>
                <w:kern w:val="0"/>
                <w:sz w:val="24"/>
                <w:szCs w:val="24"/>
                <w:highlight w:val="none"/>
                <w:u w:val="none"/>
                <w:lang w:val="en-US" w:eastAsia="zh"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平度</w:t>
            </w:r>
          </w:p>
        </w:tc>
        <w:tc>
          <w:tcPr>
            <w:tcW w:w="2205"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14,879,552.87</w:t>
            </w:r>
          </w:p>
        </w:tc>
        <w:tc>
          <w:tcPr>
            <w:tcW w:w="17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588,267.12</w:t>
            </w:r>
          </w:p>
        </w:tc>
        <w:tc>
          <w:tcPr>
            <w:tcW w:w="1944" w:type="dxa"/>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39,093.00</w:t>
            </w:r>
          </w:p>
        </w:tc>
        <w:tc>
          <w:tcPr>
            <w:tcW w:w="1863" w:type="dxa"/>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莱西</w:t>
            </w:r>
          </w:p>
        </w:tc>
        <w:tc>
          <w:tcPr>
            <w:tcW w:w="2205"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14,533,169.50</w:t>
            </w:r>
          </w:p>
        </w:tc>
        <w:tc>
          <w:tcPr>
            <w:tcW w:w="17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944" w:type="dxa"/>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863" w:type="dxa"/>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西海岸</w:t>
            </w:r>
          </w:p>
        </w:tc>
        <w:tc>
          <w:tcPr>
            <w:tcW w:w="3972" w:type="dxa"/>
            <w:gridSpan w:val="2"/>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5,704,050.00</w:t>
            </w:r>
          </w:p>
        </w:tc>
        <w:tc>
          <w:tcPr>
            <w:tcW w:w="1944" w:type="dxa"/>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1,033,212.00</w:t>
            </w:r>
          </w:p>
        </w:tc>
        <w:tc>
          <w:tcPr>
            <w:tcW w:w="1863" w:type="dxa"/>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69,042.00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城阳</w:t>
            </w:r>
          </w:p>
        </w:tc>
        <w:tc>
          <w:tcPr>
            <w:tcW w:w="2205"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7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944"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863" w:type="dxa"/>
            <w:vAlign w:val="center"/>
          </w:tcPr>
          <w:p>
            <w:pPr>
              <w:keepNext w:val="0"/>
              <w:keepLines w:val="0"/>
              <w:widowControl w:val="0"/>
              <w:suppressLineNumbers w:val="0"/>
              <w:spacing w:before="0" w:beforeAutospacing="0" w:after="0" w:afterAutospacing="0" w:line="600" w:lineRule="exact"/>
              <w:ind w:left="0" w:leftChars="0" w:right="0" w:firstLine="0" w:firstLineChars="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36,403.00</w:t>
            </w:r>
          </w:p>
        </w:tc>
      </w:tr>
    </w:tbl>
    <w:p>
      <w:pPr>
        <w:widowControl w:val="0"/>
        <w:spacing w:line="600" w:lineRule="exact"/>
        <w:ind w:firstLine="0" w:firstLineChars="0"/>
        <w:jc w:val="both"/>
        <w:outlineLvl w:val="0"/>
        <w:rPr>
          <w:rFonts w:hint="eastAsia" w:ascii="楷体_GB2312" w:hAnsi="楷体_GB2312" w:eastAsia="楷体_GB2312" w:cs="楷体_GB2312"/>
          <w:color w:val="auto"/>
          <w:kern w:val="2"/>
          <w:sz w:val="24"/>
          <w:szCs w:val="24"/>
          <w:highlight w:val="none"/>
          <w:shd w:val="clear" w:color="auto" w:fill="auto"/>
          <w:lang w:val="en-US" w:eastAsia="zh"/>
        </w:rPr>
      </w:pPr>
      <w:r>
        <w:rPr>
          <w:rFonts w:hint="eastAsia" w:ascii="楷体_GB2312" w:hAnsi="楷体_GB2312" w:eastAsia="楷体_GB2312" w:cs="楷体_GB2312"/>
          <w:color w:val="auto"/>
          <w:kern w:val="2"/>
          <w:sz w:val="24"/>
          <w:szCs w:val="24"/>
          <w:highlight w:val="none"/>
          <w:shd w:val="clear" w:color="auto" w:fill="auto"/>
          <w:lang w:val="en-US" w:eastAsia="zh-CN"/>
        </w:rPr>
        <w:t>数据来源：青岛市</w:t>
      </w:r>
      <w:r>
        <w:rPr>
          <w:rFonts w:hint="eastAsia" w:ascii="楷体_GB2312" w:hAnsi="楷体_GB2312" w:eastAsia="楷体_GB2312" w:cs="楷体_GB2312"/>
          <w:color w:val="auto"/>
          <w:kern w:val="2"/>
          <w:sz w:val="24"/>
          <w:szCs w:val="24"/>
          <w:highlight w:val="none"/>
          <w:shd w:val="clear" w:color="auto" w:fill="auto"/>
          <w:lang w:val="en-US" w:eastAsia="zh"/>
        </w:rPr>
        <w:t>各区（市）养殖环节病死畜禽无害化处理情况统计表（2021-2024年）</w:t>
      </w:r>
    </w:p>
    <w:p>
      <w:pPr>
        <w:widowControl w:val="0"/>
        <w:spacing w:line="600" w:lineRule="exact"/>
        <w:ind w:firstLine="643" w:firstLineChars="200"/>
        <w:jc w:val="both"/>
        <w:outlineLvl w:val="0"/>
        <w:rPr>
          <w:rFonts w:hint="default" w:ascii="仿宋_GB2312" w:hAnsi="仿宋_GB2312" w:eastAsia="仿宋_GB2312" w:cs="仿宋_GB2312"/>
          <w:b/>
          <w:bCs/>
          <w:color w:val="auto"/>
          <w:kern w:val="2"/>
          <w:sz w:val="32"/>
          <w:szCs w:val="32"/>
          <w:highlight w:val="none"/>
          <w:shd w:val="clear" w:color="auto" w:fill="auto"/>
          <w:lang w:val="en-US" w:eastAsia="zh-CN"/>
        </w:rPr>
      </w:pPr>
      <w:r>
        <w:rPr>
          <w:rFonts w:hint="eastAsia" w:ascii="仿宋_GB2312" w:hAnsi="仿宋_GB2312" w:eastAsia="仿宋_GB2312" w:cs="仿宋_GB2312"/>
          <w:b/>
          <w:bCs/>
          <w:color w:val="auto"/>
          <w:kern w:val="2"/>
          <w:sz w:val="32"/>
          <w:szCs w:val="32"/>
          <w:highlight w:val="none"/>
          <w:shd w:val="clear" w:color="auto" w:fill="auto"/>
          <w:lang w:val="en-US" w:eastAsia="zh-CN"/>
        </w:rPr>
        <w:t>3.病死畜禽无害化处理率分析。</w:t>
      </w:r>
    </w:p>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表</w:t>
      </w:r>
      <w:r>
        <w:rPr>
          <w:rFonts w:hint="eastAsia" w:ascii="黑体" w:hAnsi="黑体" w:eastAsia="黑体" w:cs="黑体"/>
          <w:color w:val="auto"/>
          <w:kern w:val="2"/>
          <w:sz w:val="24"/>
          <w:szCs w:val="24"/>
          <w:highlight w:val="none"/>
          <w:shd w:val="clear" w:color="auto" w:fill="auto"/>
          <w:lang w:val="en-US" w:eastAsia="zh"/>
        </w:rPr>
        <w:t>6</w:t>
      </w:r>
      <w:r>
        <w:rPr>
          <w:rFonts w:hint="eastAsia" w:ascii="黑体" w:hAnsi="黑体" w:eastAsia="黑体" w:cs="黑体"/>
          <w:color w:val="auto"/>
          <w:kern w:val="2"/>
          <w:sz w:val="24"/>
          <w:szCs w:val="24"/>
          <w:highlight w:val="none"/>
          <w:shd w:val="clear" w:color="auto" w:fill="auto"/>
          <w:lang w:val="en-US" w:eastAsia="zh-CN"/>
        </w:rPr>
        <w:t>：青岛市各</w:t>
      </w:r>
      <w:r>
        <w:rPr>
          <w:rFonts w:hint="eastAsia" w:ascii="黑体" w:hAnsi="黑体" w:eastAsia="黑体" w:cs="黑体"/>
          <w:color w:val="auto"/>
          <w:kern w:val="2"/>
          <w:sz w:val="24"/>
          <w:szCs w:val="24"/>
          <w:highlight w:val="none"/>
          <w:shd w:val="clear" w:color="auto" w:fill="auto"/>
          <w:lang w:val="en-US" w:eastAsia="zh"/>
        </w:rPr>
        <w:t>区（市）</w:t>
      </w:r>
      <w:r>
        <w:rPr>
          <w:rFonts w:hint="eastAsia" w:ascii="黑体" w:hAnsi="黑体" w:eastAsia="黑体" w:cs="黑体"/>
          <w:color w:val="auto"/>
          <w:kern w:val="2"/>
          <w:sz w:val="24"/>
          <w:szCs w:val="24"/>
          <w:highlight w:val="none"/>
          <w:shd w:val="clear" w:color="auto" w:fill="auto"/>
          <w:lang w:val="en-US" w:eastAsia="zh-CN"/>
        </w:rPr>
        <w:t>病死畜禽无害化处理率对比</w:t>
      </w:r>
    </w:p>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（2021-2024年）</w:t>
      </w:r>
    </w:p>
    <w:p>
      <w:pPr>
        <w:pStyle w:val="2"/>
        <w:rPr>
          <w:rFonts w:hint="eastAsia"/>
          <w:lang w:val="en-US" w:eastAsia="zh-CN"/>
        </w:rPr>
      </w:pPr>
    </w:p>
    <w:tbl>
      <w:tblPr>
        <w:tblStyle w:val="29"/>
        <w:tblW w:w="88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7"/>
        <w:gridCol w:w="2707"/>
        <w:gridCol w:w="2317"/>
        <w:gridCol w:w="2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blHeader/>
        </w:trPr>
        <w:tc>
          <w:tcPr>
            <w:tcW w:w="1027" w:type="dxa"/>
            <w:vMerge w:val="restart"/>
            <w:shd w:val="clear" w:color="auto" w:fill="808080"/>
            <w:vAlign w:val="center"/>
          </w:tcPr>
          <w:p>
            <w:pPr>
              <w:keepNext w:val="0"/>
              <w:keepLines w:val="0"/>
              <w:widowControl/>
              <w:suppressLineNumbers w:val="0"/>
              <w:spacing w:before="0" w:beforeAutospacing="0" w:after="0" w:afterAutospacing="0"/>
              <w:ind w:left="0" w:right="0"/>
              <w:jc w:val="left"/>
              <w:textAlignment w:val="center"/>
              <w:rPr>
                <w:rFonts w:hint="eastAsia" w:ascii="楷体_GB2312" w:hAnsi="楷体_GB2312" w:eastAsia="楷体_GB2312" w:cs="楷体_GB2312"/>
                <w:b/>
                <w:bCs/>
                <w:color w:val="auto"/>
                <w:kern w:val="2"/>
                <w:sz w:val="18"/>
                <w:szCs w:val="18"/>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区（市）</w:t>
            </w:r>
          </w:p>
        </w:tc>
        <w:tc>
          <w:tcPr>
            <w:tcW w:w="7821" w:type="dxa"/>
            <w:gridSpan w:val="3"/>
            <w:shd w:val="clear" w:color="auto" w:fill="808080"/>
          </w:tcPr>
          <w:p>
            <w:pPr>
              <w:keepNext w:val="0"/>
              <w:keepLines w:val="0"/>
              <w:widowControl w:val="0"/>
              <w:suppressLineNumbers w:val="0"/>
              <w:spacing w:before="0" w:beforeAutospacing="0" w:after="0" w:afterAutospacing="0" w:line="600" w:lineRule="exact"/>
              <w:ind w:left="0" w:leftChars="0" w:right="0" w:firstLine="0" w:firstLine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2021-2024年无害化处理率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blHeader/>
        </w:trPr>
        <w:tc>
          <w:tcPr>
            <w:tcW w:w="1027" w:type="dxa"/>
            <w:vMerge w:val="continue"/>
            <w:shd w:val="clear" w:color="auto" w:fill="808080"/>
            <w:vAlign w:val="center"/>
          </w:tcPr>
          <w:p>
            <w:pPr>
              <w:keepNext w:val="0"/>
              <w:keepLines w:val="0"/>
              <w:widowControl/>
              <w:suppressLineNumbers w:val="0"/>
              <w:spacing w:before="0" w:beforeAutospacing="0" w:after="0" w:afterAutospacing="0"/>
              <w:ind w:left="0" w:right="0"/>
              <w:jc w:val="left"/>
              <w:textAlignment w:val="center"/>
              <w:rPr>
                <w:rFonts w:hint="default" w:ascii="楷体_GB2312" w:hAnsi="楷体_GB2312" w:eastAsia="楷体_GB2312" w:cs="楷体_GB2312"/>
                <w:b/>
                <w:bCs/>
                <w:color w:val="auto"/>
                <w:kern w:val="2"/>
                <w:sz w:val="18"/>
                <w:szCs w:val="18"/>
                <w:highlight w:val="none"/>
                <w:shd w:val="clear" w:color="auto" w:fill="auto"/>
                <w:vertAlign w:val="baseline"/>
                <w:lang w:val="en-US" w:eastAsia="zh-CN"/>
              </w:rPr>
            </w:pPr>
          </w:p>
        </w:tc>
        <w:tc>
          <w:tcPr>
            <w:tcW w:w="2707" w:type="dxa"/>
            <w:shd w:val="clear" w:color="auto" w:fill="808080"/>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猪</w:t>
            </w:r>
          </w:p>
        </w:tc>
        <w:tc>
          <w:tcPr>
            <w:tcW w:w="2317" w:type="dxa"/>
            <w:shd w:val="clear" w:color="auto" w:fill="808080"/>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牛</w:t>
            </w:r>
          </w:p>
        </w:tc>
        <w:tc>
          <w:tcPr>
            <w:tcW w:w="2797" w:type="dxa"/>
            <w:shd w:val="clear" w:color="auto" w:fill="808080"/>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即墨</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6.23%</w:t>
            </w:r>
          </w:p>
        </w:tc>
        <w:tc>
          <w:tcPr>
            <w:tcW w:w="231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1.56%</w:t>
            </w:r>
          </w:p>
        </w:tc>
        <w:tc>
          <w:tcPr>
            <w:tcW w:w="279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胶州</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4.97%</w:t>
            </w:r>
          </w:p>
        </w:tc>
        <w:tc>
          <w:tcPr>
            <w:tcW w:w="231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0.78%</w:t>
            </w:r>
          </w:p>
        </w:tc>
        <w:tc>
          <w:tcPr>
            <w:tcW w:w="279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平度</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12.27%</w:t>
            </w:r>
          </w:p>
        </w:tc>
        <w:tc>
          <w:tcPr>
            <w:tcW w:w="231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0.84%</w:t>
            </w:r>
          </w:p>
        </w:tc>
        <w:tc>
          <w:tcPr>
            <w:tcW w:w="279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莱西</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4.20%</w:t>
            </w:r>
          </w:p>
        </w:tc>
        <w:tc>
          <w:tcPr>
            <w:tcW w:w="231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4.22%</w:t>
            </w:r>
          </w:p>
        </w:tc>
        <w:tc>
          <w:tcPr>
            <w:tcW w:w="279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西海岸</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8.33%</w:t>
            </w:r>
          </w:p>
        </w:tc>
        <w:tc>
          <w:tcPr>
            <w:tcW w:w="231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0.77%</w:t>
            </w:r>
          </w:p>
        </w:tc>
        <w:tc>
          <w:tcPr>
            <w:tcW w:w="279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城阳</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37.33%</w:t>
            </w:r>
          </w:p>
        </w:tc>
        <w:tc>
          <w:tcPr>
            <w:tcW w:w="2317" w:type="dxa"/>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0</w:t>
            </w:r>
          </w:p>
        </w:tc>
        <w:tc>
          <w:tcPr>
            <w:tcW w:w="2797" w:type="dxa"/>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0</w:t>
            </w:r>
          </w:p>
        </w:tc>
      </w:tr>
    </w:tbl>
    <w:p>
      <w:pPr>
        <w:widowControl w:val="0"/>
        <w:spacing w:line="600" w:lineRule="exact"/>
        <w:ind w:firstLine="0" w:firstLineChars="0"/>
        <w:jc w:val="both"/>
        <w:outlineLvl w:val="0"/>
        <w:rPr>
          <w:rFonts w:hint="default" w:ascii="楷体_GB2312" w:hAnsi="楷体_GB2312" w:eastAsia="楷体_GB2312" w:cs="楷体_GB2312"/>
          <w:color w:val="auto"/>
          <w:kern w:val="2"/>
          <w:sz w:val="24"/>
          <w:szCs w:val="24"/>
          <w:highlight w:val="none"/>
          <w:shd w:val="clear" w:color="auto" w:fill="auto"/>
          <w:lang w:val="en-US" w:eastAsia="zh-CN"/>
        </w:rPr>
      </w:pPr>
      <w:r>
        <w:rPr>
          <w:rFonts w:hint="eastAsia" w:ascii="楷体_GB2312" w:hAnsi="楷体_GB2312" w:eastAsia="楷体_GB2312" w:cs="楷体_GB2312"/>
          <w:color w:val="auto"/>
          <w:kern w:val="2"/>
          <w:sz w:val="24"/>
          <w:szCs w:val="24"/>
          <w:highlight w:val="none"/>
          <w:shd w:val="clear" w:color="auto" w:fill="auto"/>
          <w:lang w:val="en-US" w:eastAsia="zh-CN"/>
        </w:rPr>
        <w:t>备注：</w:t>
      </w:r>
      <w:r>
        <w:rPr>
          <w:rFonts w:hint="default" w:ascii="楷体_GB2312" w:hAnsi="楷体_GB2312" w:eastAsia="楷体_GB2312" w:cs="楷体_GB2312"/>
          <w:color w:val="auto"/>
          <w:kern w:val="2"/>
          <w:sz w:val="24"/>
          <w:szCs w:val="24"/>
          <w:highlight w:val="none"/>
          <w:shd w:val="clear" w:color="auto" w:fill="auto"/>
          <w:lang w:val="en-US" w:eastAsia="zh-CN"/>
        </w:rPr>
        <w:t>无害化处理率</w:t>
      </w:r>
      <w:r>
        <w:rPr>
          <w:rFonts w:hint="eastAsia" w:ascii="楷体_GB2312" w:hAnsi="楷体_GB2312" w:eastAsia="楷体_GB2312" w:cs="楷体_GB2312"/>
          <w:color w:val="auto"/>
          <w:kern w:val="2"/>
          <w:sz w:val="24"/>
          <w:szCs w:val="24"/>
          <w:highlight w:val="none"/>
          <w:shd w:val="clear" w:color="auto" w:fill="auto"/>
          <w:lang w:val="en-US" w:eastAsia="zh-CN"/>
        </w:rPr>
        <w:t>=【</w:t>
      </w:r>
      <w:r>
        <w:rPr>
          <w:rFonts w:hint="default" w:ascii="楷体_GB2312" w:hAnsi="楷体_GB2312" w:eastAsia="楷体_GB2312" w:cs="楷体_GB2312"/>
          <w:color w:val="auto"/>
          <w:kern w:val="2"/>
          <w:sz w:val="24"/>
          <w:szCs w:val="24"/>
          <w:highlight w:val="none"/>
          <w:shd w:val="clear" w:color="auto" w:fill="auto"/>
          <w:lang w:val="en-US" w:eastAsia="zh-CN"/>
        </w:rPr>
        <w:t xml:space="preserve">病死畜禽无害化处理数量 / </w:t>
      </w:r>
      <w:r>
        <w:rPr>
          <w:rFonts w:hint="eastAsia" w:ascii="楷体_GB2312" w:hAnsi="楷体_GB2312" w:eastAsia="楷体_GB2312" w:cs="楷体_GB2312"/>
          <w:color w:val="auto"/>
          <w:kern w:val="2"/>
          <w:sz w:val="24"/>
          <w:szCs w:val="24"/>
          <w:highlight w:val="none"/>
          <w:shd w:val="clear" w:color="auto" w:fill="auto"/>
          <w:lang w:val="en-US" w:eastAsia="zh-CN"/>
        </w:rPr>
        <w:t>（</w:t>
      </w:r>
      <w:r>
        <w:rPr>
          <w:rFonts w:hint="default" w:ascii="楷体_GB2312" w:hAnsi="楷体_GB2312" w:eastAsia="楷体_GB2312" w:cs="楷体_GB2312"/>
          <w:color w:val="auto"/>
          <w:kern w:val="2"/>
          <w:sz w:val="24"/>
          <w:szCs w:val="24"/>
          <w:highlight w:val="none"/>
          <w:shd w:val="clear" w:color="auto" w:fill="auto"/>
          <w:lang w:val="en-US" w:eastAsia="zh-CN"/>
        </w:rPr>
        <w:t>畜禽</w:t>
      </w:r>
      <w:r>
        <w:rPr>
          <w:rFonts w:hint="eastAsia" w:ascii="楷体_GB2312" w:hAnsi="楷体_GB2312" w:eastAsia="楷体_GB2312" w:cs="楷体_GB2312"/>
          <w:color w:val="auto"/>
          <w:kern w:val="2"/>
          <w:sz w:val="24"/>
          <w:szCs w:val="24"/>
          <w:highlight w:val="none"/>
          <w:shd w:val="clear" w:color="auto" w:fill="auto"/>
          <w:lang w:val="en-US" w:eastAsia="zh"/>
        </w:rPr>
        <w:t>存</w:t>
      </w:r>
      <w:r>
        <w:rPr>
          <w:rFonts w:hint="default" w:ascii="楷体_GB2312" w:hAnsi="楷体_GB2312" w:eastAsia="楷体_GB2312" w:cs="楷体_GB2312"/>
          <w:color w:val="auto"/>
          <w:kern w:val="2"/>
          <w:sz w:val="24"/>
          <w:szCs w:val="24"/>
          <w:highlight w:val="none"/>
          <w:shd w:val="clear" w:color="auto" w:fill="auto"/>
          <w:lang w:val="en-US" w:eastAsia="zh-CN"/>
        </w:rPr>
        <w:t>栏量</w:t>
      </w:r>
      <w:r>
        <w:rPr>
          <w:rFonts w:hint="eastAsia" w:ascii="楷体_GB2312" w:hAnsi="楷体_GB2312" w:eastAsia="楷体_GB2312" w:cs="楷体_GB2312"/>
          <w:color w:val="auto"/>
          <w:kern w:val="2"/>
          <w:sz w:val="24"/>
          <w:szCs w:val="24"/>
          <w:highlight w:val="none"/>
          <w:shd w:val="clear" w:color="auto" w:fill="auto"/>
          <w:lang w:val="en-US" w:eastAsia="zh-CN"/>
        </w:rPr>
        <w:t>+畜禽出栏量）】</w:t>
      </w:r>
      <w:r>
        <w:rPr>
          <w:rFonts w:hint="default" w:ascii="楷体_GB2312" w:hAnsi="楷体_GB2312" w:eastAsia="楷体_GB2312" w:cs="楷体_GB2312"/>
          <w:color w:val="auto"/>
          <w:kern w:val="2"/>
          <w:sz w:val="24"/>
          <w:szCs w:val="24"/>
          <w:highlight w:val="none"/>
          <w:shd w:val="clear" w:color="auto" w:fill="auto"/>
          <w:lang w:val="en-US" w:eastAsia="zh-CN"/>
        </w:rPr>
        <w:t xml:space="preserve"> × 100%</w:t>
      </w:r>
    </w:p>
    <w:p>
      <w:pPr>
        <w:widowControl w:val="0"/>
        <w:spacing w:line="600" w:lineRule="exact"/>
        <w:ind w:firstLine="640" w:firstLineChars="200"/>
        <w:jc w:val="both"/>
        <w:outlineLvl w:val="0"/>
        <w:rPr>
          <w:rFonts w:hint="eastAsia" w:ascii="黑体" w:hAnsi="黑体" w:eastAsia="黑体" w:cstheme="minorBidi"/>
          <w:color w:val="auto"/>
          <w:kern w:val="2"/>
          <w:sz w:val="32"/>
          <w:szCs w:val="32"/>
          <w:highlight w:val="none"/>
          <w:shd w:val="clear" w:color="auto" w:fill="auto"/>
          <w:lang w:eastAsia="zh"/>
        </w:rPr>
      </w:pPr>
      <w:r>
        <w:rPr>
          <w:rFonts w:hint="eastAsia" w:ascii="楷体_GB2312" w:hAnsi="楷体_GB2312" w:eastAsia="楷体_GB2312" w:cs="楷体_GB2312"/>
          <w:color w:val="auto"/>
          <w:kern w:val="2"/>
          <w:sz w:val="32"/>
          <w:szCs w:val="32"/>
          <w:highlight w:val="none"/>
          <w:shd w:val="clear" w:color="auto" w:fill="auto"/>
          <w:lang w:val="en-US" w:eastAsia="zh"/>
        </w:rPr>
        <w:t xml:space="preserve">  </w:t>
      </w:r>
      <w:r>
        <w:rPr>
          <w:rFonts w:hint="eastAsia" w:ascii="黑体" w:hAnsi="黑体" w:eastAsia="黑体" w:cstheme="minorBidi"/>
          <w:color w:val="auto"/>
          <w:kern w:val="2"/>
          <w:sz w:val="32"/>
          <w:szCs w:val="32"/>
          <w:highlight w:val="none"/>
          <w:shd w:val="clear" w:color="auto" w:fill="auto"/>
          <w:lang w:val="en-US" w:eastAsia="zh-CN"/>
        </w:rPr>
        <w:t>二</w:t>
      </w:r>
      <w:r>
        <w:rPr>
          <w:rFonts w:hint="eastAsia" w:ascii="黑体" w:hAnsi="黑体" w:eastAsia="黑体" w:cstheme="minorBidi"/>
          <w:color w:val="auto"/>
          <w:kern w:val="2"/>
          <w:sz w:val="32"/>
          <w:szCs w:val="32"/>
          <w:highlight w:val="none"/>
          <w:shd w:val="clear" w:color="auto" w:fill="auto"/>
        </w:rPr>
        <w:t>、</w:t>
      </w:r>
      <w:r>
        <w:rPr>
          <w:rFonts w:hint="eastAsia" w:ascii="黑体" w:hAnsi="黑体" w:eastAsia="黑体" w:cstheme="minorBidi"/>
          <w:color w:val="auto"/>
          <w:kern w:val="2"/>
          <w:sz w:val="32"/>
          <w:szCs w:val="32"/>
          <w:highlight w:val="none"/>
          <w:shd w:val="clear" w:color="auto" w:fill="auto"/>
          <w:lang w:eastAsia="zh"/>
        </w:rPr>
        <w:t>绩效评价工作开展情况</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rPr>
      </w:pPr>
      <w:r>
        <w:rPr>
          <w:rFonts w:hint="eastAsia" w:ascii="楷体_GB2312" w:hAnsi="楷体_GB2312" w:eastAsia="楷体_GB2312" w:cs="楷体_GB2312"/>
          <w:kern w:val="2"/>
          <w:sz w:val="32"/>
          <w:szCs w:val="40"/>
          <w:highlight w:val="none"/>
        </w:rPr>
        <w:t>（一）评价目的、评价对象和范围</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评价组从“青岛市农业农村局 青岛市财政局关于“</w:t>
      </w:r>
      <w:r>
        <w:rPr>
          <w:rFonts w:hint="eastAsia" w:ascii="仿宋_GB2312" w:hAnsi="仿宋_GB2312" w:eastAsia="仿宋_GB2312" w:cs="仿宋_GB2312"/>
          <w:kern w:val="2"/>
          <w:sz w:val="32"/>
          <w:szCs w:val="40"/>
          <w:highlight w:val="none"/>
          <w:lang w:val="en-US" w:eastAsia="zh-CN"/>
        </w:rPr>
        <w:t>养殖环节病死畜禽无害化处理补助</w:t>
      </w:r>
      <w:r>
        <w:rPr>
          <w:rFonts w:hint="eastAsia" w:ascii="仿宋_GB2312" w:hAnsi="仿宋_GB2312" w:eastAsia="仿宋_GB2312" w:cs="仿宋_GB2312"/>
          <w:kern w:val="2"/>
          <w:sz w:val="32"/>
          <w:szCs w:val="40"/>
          <w:highlight w:val="none"/>
          <w:lang w:val="en-US" w:eastAsia="zh"/>
        </w:rPr>
        <w:t>”政策制定、政策实施、政策效果三个方面对2021年-2024年预算数10,968.23万元开展绩效评价，并延伸至政策申报项目的具体实施内容和流程全面评价项目的验收及运营情况。旨在通过全面评价，总结政策制定与实施过程中取得的经验、存在的不足，对政策后续调整优化提出合理建议。</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rPr>
        <w:t>（二）评价思路、评价重点、评价指标体系和评价标准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根据《财政部关于印发〈项目支出绩效评价管理办法〉的</w:t>
      </w:r>
      <w:r>
        <w:rPr>
          <w:rFonts w:hint="default" w:ascii="仿宋_GB2312" w:hAnsi="仿宋_GB2312" w:eastAsia="仿宋_GB2312" w:cs="仿宋_GB2312"/>
          <w:kern w:val="2"/>
          <w:sz w:val="32"/>
          <w:szCs w:val="40"/>
          <w:highlight w:val="none"/>
          <w:lang w:val="en-US" w:eastAsia="zh-CN"/>
        </w:rPr>
        <w:t>通知》（财预〔2020〕10号）、《市级项目支出部门绩效评价操作规程》（青财绩〔2020〕8号），并结合</w:t>
      </w:r>
      <w:r>
        <w:rPr>
          <w:rFonts w:hint="eastAsia" w:ascii="仿宋_GB2312" w:hAnsi="仿宋_GB2312" w:eastAsia="仿宋_GB2312" w:cs="仿宋_GB2312"/>
          <w:kern w:val="2"/>
          <w:sz w:val="32"/>
          <w:szCs w:val="40"/>
          <w:highlight w:val="none"/>
          <w:lang w:val="en-US" w:eastAsia="zh"/>
        </w:rPr>
        <w:t>青岛市养殖环节病死畜禽无害化处理补助（2021年—2024年）政策</w:t>
      </w:r>
      <w:r>
        <w:rPr>
          <w:rFonts w:hint="default" w:ascii="仿宋_GB2312" w:hAnsi="仿宋_GB2312" w:eastAsia="仿宋_GB2312" w:cs="仿宋_GB2312"/>
          <w:kern w:val="2"/>
          <w:sz w:val="32"/>
          <w:szCs w:val="40"/>
          <w:highlight w:val="none"/>
          <w:lang w:val="en-US" w:eastAsia="zh-CN"/>
        </w:rPr>
        <w:t>项目实际情况，设置绩效评价指标体系。在指标体系框架下，重点关注</w:t>
      </w:r>
      <w:r>
        <w:rPr>
          <w:rFonts w:hint="eastAsia" w:ascii="仿宋_GB2312" w:hAnsi="仿宋_GB2312" w:eastAsia="仿宋_GB2312" w:cs="仿宋_GB2312"/>
          <w:kern w:val="2"/>
          <w:sz w:val="32"/>
          <w:szCs w:val="40"/>
          <w:highlight w:val="none"/>
          <w:lang w:val="en-US" w:eastAsia="zh"/>
        </w:rPr>
        <w:t>病死畜禽无害化处理率补助覆盖率</w:t>
      </w:r>
      <w:r>
        <w:rPr>
          <w:rFonts w:hint="default" w:ascii="仿宋_GB2312" w:hAnsi="仿宋_GB2312" w:eastAsia="仿宋_GB2312" w:cs="仿宋_GB2312"/>
          <w:kern w:val="2"/>
          <w:sz w:val="32"/>
          <w:szCs w:val="40"/>
          <w:highlight w:val="none"/>
          <w:lang w:val="en-US" w:eastAsia="zh-CN"/>
        </w:rPr>
        <w:t>、</w:t>
      </w:r>
      <w:r>
        <w:rPr>
          <w:rFonts w:hint="eastAsia" w:ascii="仿宋_GB2312" w:hAnsi="仿宋_GB2312" w:eastAsia="仿宋_GB2312" w:cs="仿宋_GB2312"/>
          <w:kern w:val="2"/>
          <w:sz w:val="32"/>
          <w:szCs w:val="40"/>
          <w:highlight w:val="none"/>
          <w:lang w:val="en-US" w:eastAsia="zh"/>
        </w:rPr>
        <w:t>病死畜禽随意抛弃事件发生数（次）</w:t>
      </w:r>
      <w:r>
        <w:rPr>
          <w:rFonts w:hint="default" w:ascii="仿宋_GB2312" w:hAnsi="仿宋_GB2312" w:eastAsia="仿宋_GB2312" w:cs="仿宋_GB2312"/>
          <w:kern w:val="2"/>
          <w:sz w:val="32"/>
          <w:szCs w:val="40"/>
          <w:highlight w:val="none"/>
          <w:lang w:val="en-US" w:eastAsia="zh-CN"/>
        </w:rPr>
        <w:t xml:space="preserve">等几个指标，具体指标如附件1所示。 </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default" w:ascii="仿宋_GB2312" w:hAnsi="仿宋_GB2312" w:eastAsia="仿宋_GB2312" w:cs="仿宋_GB2312"/>
          <w:kern w:val="2"/>
          <w:sz w:val="32"/>
          <w:szCs w:val="40"/>
          <w:highlight w:val="none"/>
          <w:lang w:val="en-US" w:eastAsia="zh-CN"/>
        </w:rPr>
        <w:t>根据《青岛市市级项目支出预算绩效管理结果应用办法》 （青财绩〔2023〕5 号），绩效评价等级划分为四档：90 分（含） -100 分为优、80 分（含）-90 分为良、60 分（含）-80 分为中、60 分以下为差。</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rPr>
      </w:pPr>
      <w:r>
        <w:rPr>
          <w:rFonts w:hint="eastAsia" w:ascii="楷体_GB2312" w:hAnsi="楷体_GB2312" w:eastAsia="楷体_GB2312" w:cs="楷体_GB2312"/>
          <w:kern w:val="2"/>
          <w:sz w:val="32"/>
          <w:szCs w:val="40"/>
          <w:highlight w:val="none"/>
        </w:rPr>
        <w:t>（三）评价组织实施与评价方法</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1.评价组织实施。</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（1）</w:t>
      </w:r>
      <w:r>
        <w:rPr>
          <w:rFonts w:hint="eastAsia" w:ascii="仿宋_GB2312" w:hAnsi="仿宋_GB2312" w:eastAsia="仿宋_GB2312" w:cs="仿宋_GB2312"/>
          <w:kern w:val="2"/>
          <w:sz w:val="32"/>
          <w:szCs w:val="40"/>
          <w:highlight w:val="none"/>
          <w:lang w:val="en-US" w:eastAsia="zh-CN"/>
        </w:rPr>
        <w:t>前期准备（5月23日-6月5日）</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组建评价团队：由山东润德有限责任会计师事务所牵头，抽调相关专业人员组成评价工作组。收集政策文件、资金分配与使用情况、各区（市）无害化处理数据等资料，对接被评价单位项目联系人，开展预调研工作，基于收集的资料和预调研结果，制定评价实施方案，包括评价目标、方法、时间安排和预期成果。</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（2）</w:t>
      </w:r>
      <w:r>
        <w:rPr>
          <w:rFonts w:hint="eastAsia" w:ascii="仿宋_GB2312" w:hAnsi="仿宋_GB2312" w:eastAsia="仿宋_GB2312" w:cs="仿宋_GB2312"/>
          <w:kern w:val="2"/>
          <w:sz w:val="32"/>
          <w:szCs w:val="40"/>
          <w:highlight w:val="none"/>
          <w:lang w:val="en-US" w:eastAsia="zh-CN"/>
        </w:rPr>
        <w:t>组织实施（6月6日-6月20日）</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青岛市财政局农业处组织对评价实施方案进行方案论证，确保方案的可行性和科学性。根据实施方案，对选定的区域进行现场评价，包括进点检查、问题交流和数据核实。</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（3）</w:t>
      </w:r>
      <w:r>
        <w:rPr>
          <w:rFonts w:hint="eastAsia" w:ascii="仿宋_GB2312" w:hAnsi="仿宋_GB2312" w:eastAsia="仿宋_GB2312" w:cs="仿宋_GB2312"/>
          <w:kern w:val="2"/>
          <w:sz w:val="32"/>
          <w:szCs w:val="40"/>
          <w:highlight w:val="none"/>
          <w:lang w:val="en-US" w:eastAsia="zh-CN"/>
        </w:rPr>
        <w:t>分析评价（6月21日-7月12日）</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对收集到的数据进行整理分析，评估政策实施效果。结合数据分析和社会调查结果，查找政策设计、执行过程中存在的问题和不足。</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（4）</w:t>
      </w:r>
      <w:r>
        <w:rPr>
          <w:rFonts w:hint="eastAsia" w:ascii="仿宋_GB2312" w:hAnsi="仿宋_GB2312" w:eastAsia="仿宋_GB2312" w:cs="仿宋_GB2312"/>
          <w:kern w:val="2"/>
          <w:sz w:val="32"/>
          <w:szCs w:val="40"/>
          <w:highlight w:val="none"/>
          <w:lang w:val="en-US" w:eastAsia="zh-CN"/>
        </w:rPr>
        <w:t>报告撰写（7月13日-7月31日）</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根据评价结果，撰写绩效评价报告，提出优化建议。对评价报告进行内部审核，确保内容准确、客观。</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（5）</w:t>
      </w:r>
      <w:r>
        <w:rPr>
          <w:rFonts w:hint="eastAsia" w:ascii="仿宋_GB2312" w:hAnsi="仿宋_GB2312" w:eastAsia="仿宋_GB2312" w:cs="仿宋_GB2312"/>
          <w:kern w:val="2"/>
          <w:sz w:val="32"/>
          <w:szCs w:val="40"/>
          <w:highlight w:val="none"/>
          <w:lang w:val="en-US" w:eastAsia="zh-CN"/>
        </w:rPr>
        <w:t>报告提交（8月1日-8月7日）</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将评价报告初稿与青岛市财政局农业处进行沟通，听取意见。根据反馈意见对报告进行修改完善，形成正式报告。将正式绩效评价报告提交至青岛市财政局等相关主管部门。</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2.评价方法。</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default" w:ascii="仿宋_GB2312" w:hAnsi="仿宋_GB2312" w:eastAsia="仿宋_GB2312" w:cs="仿宋_GB2312"/>
          <w:kern w:val="2"/>
          <w:sz w:val="32"/>
          <w:szCs w:val="40"/>
          <w:highlight w:val="none"/>
          <w:lang w:val="en-US" w:eastAsia="zh-CN"/>
        </w:rPr>
        <w:t>本次评价采用案卷分析法、现场调研法、比较分析法、问卷调查法相结合的方式。案卷分析法主要查阅青岛市及各</w:t>
      </w:r>
      <w:r>
        <w:rPr>
          <w:rFonts w:hint="eastAsia" w:ascii="仿宋_GB2312" w:hAnsi="仿宋_GB2312" w:eastAsia="仿宋_GB2312" w:cs="仿宋_GB2312"/>
          <w:kern w:val="2"/>
          <w:sz w:val="32"/>
          <w:szCs w:val="40"/>
          <w:highlight w:val="none"/>
          <w:lang w:val="en-US" w:eastAsia="zh"/>
        </w:rPr>
        <w:t>区（市）</w:t>
      </w:r>
      <w:r>
        <w:rPr>
          <w:rFonts w:hint="default" w:ascii="仿宋_GB2312" w:hAnsi="仿宋_GB2312" w:eastAsia="仿宋_GB2312" w:cs="仿宋_GB2312"/>
          <w:kern w:val="2"/>
          <w:sz w:val="32"/>
          <w:szCs w:val="40"/>
          <w:highlight w:val="none"/>
          <w:lang w:val="en-US" w:eastAsia="zh-CN"/>
        </w:rPr>
        <w:t>关于</w:t>
      </w:r>
      <w:r>
        <w:rPr>
          <w:rFonts w:hint="eastAsia" w:ascii="仿宋_GB2312" w:hAnsi="仿宋_GB2312" w:eastAsia="仿宋_GB2312" w:cs="仿宋_GB2312"/>
          <w:kern w:val="2"/>
          <w:sz w:val="32"/>
          <w:szCs w:val="40"/>
          <w:highlight w:val="none"/>
          <w:lang w:val="en-US" w:eastAsia="zh"/>
        </w:rPr>
        <w:t>青岛市养殖环节病死畜禽无害化处理补助（2021年—2024年）</w:t>
      </w:r>
      <w:r>
        <w:rPr>
          <w:rFonts w:hint="default" w:ascii="仿宋_GB2312" w:hAnsi="仿宋_GB2312" w:eastAsia="仿宋_GB2312" w:cs="仿宋_GB2312"/>
          <w:kern w:val="2"/>
          <w:sz w:val="32"/>
          <w:szCs w:val="40"/>
          <w:highlight w:val="none"/>
          <w:lang w:val="en-US" w:eastAsia="zh-CN"/>
        </w:rPr>
        <w:t>政策的文件资料、资金分配与使用记录、项目实施情况报告等，了解政策制定、执行及管理情况。现场调研法是评价工作组在市农业农村局的带领下，开展现场评价工作，现场评价覆盖重点区（市），具体包含：平度市、莱西市、即墨区、胶州市、西海岸新区</w:t>
      </w:r>
      <w:r>
        <w:rPr>
          <w:rFonts w:hint="eastAsia" w:ascii="仿宋_GB2312" w:hAnsi="仿宋_GB2312" w:eastAsia="仿宋_GB2312" w:cs="仿宋_GB2312"/>
          <w:kern w:val="2"/>
          <w:sz w:val="32"/>
          <w:szCs w:val="40"/>
          <w:highlight w:val="none"/>
          <w:lang w:val="en-US" w:eastAsia="zh"/>
        </w:rPr>
        <w:t>和城阳区</w:t>
      </w:r>
      <w:r>
        <w:rPr>
          <w:rFonts w:hint="default" w:ascii="仿宋_GB2312" w:hAnsi="仿宋_GB2312" w:eastAsia="仿宋_GB2312" w:cs="仿宋_GB2312"/>
          <w:kern w:val="2"/>
          <w:sz w:val="32"/>
          <w:szCs w:val="40"/>
          <w:highlight w:val="none"/>
          <w:lang w:val="en-US" w:eastAsia="zh-CN"/>
        </w:rPr>
        <w:t>。现场评价过程中，一是与各</w:t>
      </w:r>
      <w:r>
        <w:rPr>
          <w:rFonts w:hint="eastAsia" w:ascii="仿宋_GB2312" w:hAnsi="仿宋_GB2312" w:eastAsia="仿宋_GB2312" w:cs="仿宋_GB2312"/>
          <w:kern w:val="2"/>
          <w:sz w:val="32"/>
          <w:szCs w:val="40"/>
          <w:highlight w:val="none"/>
          <w:lang w:val="en-US" w:eastAsia="zh"/>
        </w:rPr>
        <w:t>区（市）</w:t>
      </w:r>
      <w:r>
        <w:rPr>
          <w:rFonts w:hint="default" w:ascii="仿宋_GB2312" w:hAnsi="仿宋_GB2312" w:eastAsia="仿宋_GB2312" w:cs="仿宋_GB2312"/>
          <w:kern w:val="2"/>
          <w:sz w:val="32"/>
          <w:szCs w:val="40"/>
          <w:highlight w:val="none"/>
          <w:lang w:val="en-US" w:eastAsia="zh-CN"/>
        </w:rPr>
        <w:t>农业农村局开展现场座谈，了解政策执行及资金管理情况；二通过实地走访部分</w:t>
      </w:r>
      <w:r>
        <w:rPr>
          <w:rFonts w:hint="eastAsia" w:ascii="仿宋_GB2312" w:hAnsi="仿宋_GB2312" w:eastAsia="仿宋_GB2312" w:cs="仿宋_GB2312"/>
          <w:kern w:val="2"/>
          <w:sz w:val="32"/>
          <w:szCs w:val="40"/>
          <w:highlight w:val="none"/>
          <w:lang w:val="en-US" w:eastAsia="zh"/>
        </w:rPr>
        <w:t>养殖场</w:t>
      </w:r>
      <w:r>
        <w:rPr>
          <w:rFonts w:hint="default" w:ascii="仿宋_GB2312" w:hAnsi="仿宋_GB2312" w:eastAsia="仿宋_GB2312" w:cs="仿宋_GB2312"/>
          <w:kern w:val="2"/>
          <w:sz w:val="32"/>
          <w:szCs w:val="40"/>
          <w:highlight w:val="none"/>
          <w:lang w:val="en-US" w:eastAsia="zh-CN"/>
        </w:rPr>
        <w:t>（户）、无害化处理企业以及相关监管部门，了解政策实施效果、资金到位情况、存在的问题等开展情况。比较分析法将</w:t>
      </w:r>
      <w:r>
        <w:rPr>
          <w:rFonts w:hint="eastAsia" w:ascii="仿宋_GB2312" w:hAnsi="仿宋_GB2312" w:eastAsia="仿宋_GB2312" w:cs="仿宋_GB2312"/>
          <w:kern w:val="2"/>
          <w:sz w:val="32"/>
          <w:szCs w:val="40"/>
          <w:highlight w:val="none"/>
          <w:lang w:val="en-US" w:eastAsia="zh"/>
        </w:rPr>
        <w:t>青岛市养殖环节病死畜禽无害化处理补助（2021年—2024年）</w:t>
      </w:r>
      <w:r>
        <w:rPr>
          <w:rFonts w:hint="default" w:ascii="仿宋_GB2312" w:hAnsi="仿宋_GB2312" w:eastAsia="仿宋_GB2312" w:cs="仿宋_GB2312"/>
          <w:kern w:val="2"/>
          <w:sz w:val="32"/>
          <w:szCs w:val="40"/>
          <w:highlight w:val="none"/>
          <w:lang w:val="en-US" w:eastAsia="zh-CN"/>
        </w:rPr>
        <w:t>政策与其他省份相关政策进行对比，分析政策目标、补助标准、资金投入等方面的差异与特点。问卷调查法针对</w:t>
      </w:r>
      <w:r>
        <w:rPr>
          <w:rFonts w:hint="eastAsia" w:ascii="仿宋_GB2312" w:hAnsi="仿宋_GB2312" w:eastAsia="仿宋_GB2312" w:cs="仿宋_GB2312"/>
          <w:kern w:val="2"/>
          <w:sz w:val="32"/>
          <w:szCs w:val="40"/>
          <w:highlight w:val="none"/>
          <w:lang w:val="en-US" w:eastAsia="zh"/>
        </w:rPr>
        <w:t>养殖场</w:t>
      </w:r>
      <w:r>
        <w:rPr>
          <w:rFonts w:hint="default" w:ascii="仿宋_GB2312" w:hAnsi="仿宋_GB2312" w:eastAsia="仿宋_GB2312" w:cs="仿宋_GB2312"/>
          <w:kern w:val="2"/>
          <w:sz w:val="32"/>
          <w:szCs w:val="40"/>
          <w:highlight w:val="none"/>
          <w:lang w:val="en-US" w:eastAsia="zh-CN"/>
        </w:rPr>
        <w:t>（户）</w:t>
      </w:r>
      <w:r>
        <w:rPr>
          <w:rFonts w:hint="eastAsia" w:ascii="仿宋_GB2312" w:hAnsi="仿宋_GB2312" w:eastAsia="仿宋_GB2312" w:cs="仿宋_GB2312"/>
          <w:kern w:val="2"/>
          <w:sz w:val="32"/>
          <w:szCs w:val="40"/>
          <w:highlight w:val="none"/>
          <w:lang w:val="en-US" w:eastAsia="zh-CN"/>
        </w:rPr>
        <w:t>与</w:t>
      </w:r>
      <w:r>
        <w:rPr>
          <w:rFonts w:hint="default" w:ascii="仿宋_GB2312" w:hAnsi="仿宋_GB2312" w:eastAsia="仿宋_GB2312" w:cs="仿宋_GB2312"/>
          <w:kern w:val="2"/>
          <w:sz w:val="32"/>
          <w:szCs w:val="40"/>
          <w:highlight w:val="none"/>
          <w:lang w:val="en-US" w:eastAsia="zh-CN"/>
        </w:rPr>
        <w:t>无害化处理企业群体设计</w:t>
      </w:r>
      <w:r>
        <w:rPr>
          <w:rFonts w:hint="eastAsia" w:ascii="仿宋_GB2312" w:hAnsi="仿宋_GB2312" w:eastAsia="仿宋_GB2312" w:cs="仿宋_GB2312"/>
          <w:kern w:val="2"/>
          <w:sz w:val="32"/>
          <w:szCs w:val="40"/>
          <w:highlight w:val="none"/>
          <w:lang w:val="en-US" w:eastAsia="zh-CN"/>
        </w:rPr>
        <w:t>满意度调查</w:t>
      </w:r>
      <w:r>
        <w:rPr>
          <w:rFonts w:hint="default" w:ascii="仿宋_GB2312" w:hAnsi="仿宋_GB2312" w:eastAsia="仿宋_GB2312" w:cs="仿宋_GB2312"/>
          <w:kern w:val="2"/>
          <w:sz w:val="32"/>
          <w:szCs w:val="40"/>
          <w:highlight w:val="none"/>
          <w:lang w:val="en-US" w:eastAsia="zh-CN"/>
        </w:rPr>
        <w:t>问卷，调查其对政策的知晓度、满意度以及意见建议。</w:t>
      </w:r>
    </w:p>
    <w:p>
      <w:pPr>
        <w:keepNext w:val="0"/>
        <w:keepLines w:val="0"/>
        <w:widowControl/>
        <w:suppressLineNumbers w:val="0"/>
        <w:spacing w:before="0" w:beforeAutospacing="0" w:after="0" w:afterAutospacing="0" w:line="600" w:lineRule="exact"/>
        <w:ind w:left="0" w:right="0" w:firstLine="640" w:firstLineChars="200"/>
        <w:jc w:val="left"/>
        <w:outlineLvl w:val="0"/>
        <w:rPr>
          <w:rFonts w:hint="default" w:ascii="黑体" w:hAnsi="黑体" w:eastAsia="黑体" w:cstheme="minorBidi"/>
          <w:color w:val="auto"/>
          <w:kern w:val="2"/>
          <w:sz w:val="32"/>
          <w:szCs w:val="32"/>
          <w:highlight w:val="none"/>
          <w:shd w:val="clear" w:color="auto" w:fill="auto"/>
          <w:lang w:val="en-US"/>
        </w:rPr>
      </w:pPr>
      <w:r>
        <w:rPr>
          <w:rFonts w:hint="eastAsia" w:ascii="黑体" w:hAnsi="黑体" w:eastAsia="黑体" w:cstheme="minorBidi"/>
          <w:color w:val="auto"/>
          <w:kern w:val="2"/>
          <w:sz w:val="32"/>
          <w:szCs w:val="32"/>
          <w:highlight w:val="none"/>
          <w:shd w:val="clear" w:color="auto" w:fill="auto"/>
          <w:lang w:val="en-US" w:eastAsia="zh-CN"/>
        </w:rPr>
        <w:t>三、评价结论</w:t>
      </w:r>
      <w:r>
        <w:rPr>
          <w:rFonts w:hint="eastAsia" w:ascii="黑体" w:hAnsi="黑体" w:eastAsia="黑体" w:cstheme="minorBidi"/>
          <w:color w:val="auto"/>
          <w:kern w:val="2"/>
          <w:sz w:val="32"/>
          <w:szCs w:val="32"/>
          <w:highlight w:val="none"/>
          <w:shd w:val="clear" w:color="auto" w:fill="auto"/>
          <w:lang w:val="en-US" w:eastAsia="zh"/>
        </w:rPr>
        <w:t>及</w:t>
      </w:r>
      <w:r>
        <w:rPr>
          <w:rFonts w:hint="eastAsia" w:ascii="黑体" w:hAnsi="黑体" w:eastAsia="黑体" w:cstheme="minorBidi"/>
          <w:color w:val="auto"/>
          <w:kern w:val="2"/>
          <w:sz w:val="32"/>
          <w:szCs w:val="32"/>
          <w:highlight w:val="none"/>
          <w:shd w:val="clear" w:color="auto" w:fill="auto"/>
          <w:lang w:val="en-US" w:eastAsia="zh-CN"/>
        </w:rPr>
        <w:t>分析</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CN"/>
        </w:rPr>
        <w:t>（一）综合评价结论</w:t>
      </w:r>
    </w:p>
    <w:p>
      <w:pPr>
        <w:widowControl w:val="0"/>
        <w:spacing w:line="600" w:lineRule="exact"/>
        <w:ind w:firstLine="640" w:firstLineChars="200"/>
        <w:jc w:val="both"/>
        <w:rPr>
          <w:rFonts w:hint="eastAsia" w:ascii="仿宋_GB2312" w:hAnsi="仿宋_GB2312" w:eastAsia="仿宋_GB2312" w:cs="仿宋_GB2312"/>
          <w:color w:val="auto"/>
          <w:kern w:val="2"/>
          <w:sz w:val="32"/>
          <w:szCs w:val="32"/>
          <w:highlight w:val="none"/>
          <w:shd w:val="clear" w:color="auto" w:fill="auto"/>
          <w:lang w:val="en-US" w:eastAsia="zh-CN"/>
        </w:rPr>
      </w:pPr>
      <w:r>
        <w:rPr>
          <w:rFonts w:hint="eastAsia" w:ascii="仿宋_GB2312" w:hAnsi="仿宋_GB2312" w:eastAsia="仿宋_GB2312" w:cs="仿宋_GB2312"/>
          <w:kern w:val="2"/>
          <w:sz w:val="32"/>
          <w:szCs w:val="40"/>
          <w:highlight w:val="none"/>
          <w:lang w:val="en-US" w:eastAsia="zh-CN"/>
        </w:rPr>
        <w:t>本政策绩效评价得分为</w:t>
      </w:r>
      <w:r>
        <w:rPr>
          <w:rFonts w:hint="eastAsia" w:ascii="仿宋_GB2312" w:hAnsi="仿宋_GB2312" w:eastAsia="仿宋_GB2312" w:cs="仿宋_GB2312"/>
          <w:kern w:val="2"/>
          <w:sz w:val="32"/>
          <w:szCs w:val="40"/>
          <w:highlight w:val="none"/>
          <w:lang w:val="en-US" w:eastAsia="zh"/>
        </w:rPr>
        <w:t>85.95</w:t>
      </w:r>
      <w:r>
        <w:rPr>
          <w:rFonts w:hint="eastAsia" w:ascii="仿宋_GB2312" w:hAnsi="仿宋_GB2312" w:eastAsia="仿宋_GB2312" w:cs="仿宋_GB2312"/>
          <w:kern w:val="2"/>
          <w:sz w:val="32"/>
          <w:szCs w:val="40"/>
          <w:highlight w:val="none"/>
          <w:lang w:val="en-US" w:eastAsia="zh-CN"/>
        </w:rPr>
        <w:t>分，评价等级为“</w:t>
      </w:r>
      <w:r>
        <w:rPr>
          <w:rFonts w:hint="eastAsia" w:ascii="仿宋_GB2312" w:hAnsi="仿宋_GB2312" w:eastAsia="仿宋_GB2312" w:cs="仿宋_GB2312"/>
          <w:kern w:val="2"/>
          <w:sz w:val="32"/>
          <w:szCs w:val="40"/>
          <w:highlight w:val="none"/>
          <w:lang w:val="en-US" w:eastAsia="zh"/>
        </w:rPr>
        <w:t>良</w:t>
      </w:r>
      <w:r>
        <w:rPr>
          <w:rFonts w:hint="eastAsia" w:ascii="仿宋_GB2312" w:hAnsi="仿宋_GB2312" w:eastAsia="仿宋_GB2312" w:cs="仿宋_GB2312"/>
          <w:kern w:val="2"/>
          <w:sz w:val="32"/>
          <w:szCs w:val="40"/>
          <w:highlight w:val="none"/>
          <w:lang w:val="en-US" w:eastAsia="zh-CN"/>
        </w:rPr>
        <w:t>”。</w:t>
      </w:r>
    </w:p>
    <w:p>
      <w:pPr>
        <w:spacing w:line="600" w:lineRule="exact"/>
        <w:jc w:val="center"/>
      </w:pPr>
      <w:r>
        <w:rPr>
          <w:rFonts w:hint="eastAsia" w:ascii="黑体" w:hAnsi="黑体" w:eastAsia="黑体" w:cs="黑体"/>
          <w:sz w:val="28"/>
          <w:szCs w:val="28"/>
          <w:highlight w:val="none"/>
        </w:rPr>
        <w:t>绩效评价得分情况表</w:t>
      </w:r>
    </w:p>
    <w:tbl>
      <w:tblPr>
        <w:tblStyle w:val="28"/>
        <w:tblW w:w="88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209"/>
        <w:gridCol w:w="2209"/>
        <w:gridCol w:w="2209"/>
        <w:gridCol w:w="2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0" w:hRule="atLeast"/>
          <w:jc w:val="center"/>
        </w:trPr>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b/>
                <w:bCs/>
                <w:kern w:val="2"/>
                <w:sz w:val="24"/>
                <w:szCs w:val="24"/>
                <w:highlight w:val="none"/>
              </w:rPr>
            </w:pPr>
            <w:r>
              <w:rPr>
                <w:rFonts w:hint="default" w:ascii="仿宋_GB2312" w:hAnsi="Calibri" w:eastAsia="仿宋_GB2312" w:cs="仿宋_GB2312"/>
                <w:b/>
                <w:bCs/>
                <w:kern w:val="2"/>
                <w:sz w:val="24"/>
                <w:szCs w:val="24"/>
                <w:highlight w:val="none"/>
                <w:lang w:val="en-US" w:eastAsia="zh-CN" w:bidi="ar"/>
              </w:rPr>
              <w:t>一级指标</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b/>
                <w:bCs/>
                <w:kern w:val="2"/>
                <w:sz w:val="24"/>
                <w:szCs w:val="24"/>
                <w:highlight w:val="none"/>
              </w:rPr>
            </w:pPr>
            <w:r>
              <w:rPr>
                <w:rFonts w:hint="default" w:ascii="仿宋_GB2312" w:hAnsi="Calibri" w:eastAsia="仿宋_GB2312" w:cs="仿宋_GB2312"/>
                <w:b/>
                <w:bCs/>
                <w:kern w:val="2"/>
                <w:sz w:val="24"/>
                <w:szCs w:val="24"/>
                <w:highlight w:val="none"/>
                <w:lang w:val="en-US" w:eastAsia="zh-CN" w:bidi="ar"/>
              </w:rPr>
              <w:t>指标分值</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b/>
                <w:bCs/>
                <w:kern w:val="2"/>
                <w:sz w:val="24"/>
                <w:szCs w:val="24"/>
                <w:highlight w:val="none"/>
              </w:rPr>
            </w:pPr>
            <w:r>
              <w:rPr>
                <w:rFonts w:hint="default" w:ascii="仿宋_GB2312" w:hAnsi="Calibri" w:eastAsia="仿宋_GB2312" w:cs="仿宋_GB2312"/>
                <w:b/>
                <w:bCs/>
                <w:kern w:val="2"/>
                <w:sz w:val="24"/>
                <w:szCs w:val="24"/>
                <w:highlight w:val="none"/>
                <w:lang w:val="en-US" w:eastAsia="zh-CN" w:bidi="ar"/>
              </w:rPr>
              <w:t>得分</w:t>
            </w:r>
          </w:p>
        </w:tc>
        <w:tc>
          <w:tcPr>
            <w:tcW w:w="22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b/>
                <w:bCs/>
                <w:kern w:val="2"/>
                <w:sz w:val="24"/>
                <w:szCs w:val="24"/>
                <w:highlight w:val="none"/>
              </w:rPr>
            </w:pPr>
            <w:r>
              <w:rPr>
                <w:rFonts w:hint="default" w:ascii="仿宋_GB2312" w:hAnsi="Calibri" w:eastAsia="仿宋_GB2312" w:cs="仿宋_GB2312"/>
                <w:b/>
                <w:bCs/>
                <w:kern w:val="2"/>
                <w:sz w:val="24"/>
                <w:szCs w:val="24"/>
                <w:highlight w:val="none"/>
                <w:lang w:val="en-US" w:eastAsia="zh-CN" w:bidi="ar"/>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0" w:hRule="atLeast"/>
          <w:jc w:val="center"/>
        </w:trPr>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政策制定</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20.00</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eastAsia" w:ascii="仿宋_GB2312" w:eastAsia="仿宋_GB2312" w:cs="仿宋_GB2312"/>
                <w:kern w:val="2"/>
                <w:sz w:val="24"/>
                <w:szCs w:val="24"/>
                <w:highlight w:val="none"/>
                <w:lang w:val="en-US" w:eastAsia="zh" w:bidi="ar"/>
              </w:rPr>
              <w:t>20</w:t>
            </w:r>
            <w:r>
              <w:rPr>
                <w:rFonts w:hint="default" w:ascii="仿宋_GB2312" w:hAnsi="宋体" w:eastAsia="仿宋_GB2312" w:cs="仿宋_GB2312"/>
                <w:kern w:val="2"/>
                <w:sz w:val="24"/>
                <w:szCs w:val="24"/>
                <w:highlight w:val="none"/>
                <w:lang w:val="en-US" w:eastAsia="zh-CN" w:bidi="ar"/>
              </w:rPr>
              <w:t>.00</w:t>
            </w:r>
          </w:p>
        </w:tc>
        <w:tc>
          <w:tcPr>
            <w:tcW w:w="22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eastAsia" w:ascii="仿宋_GB2312" w:eastAsia="仿宋_GB2312" w:cs="仿宋_GB2312"/>
                <w:kern w:val="2"/>
                <w:sz w:val="24"/>
                <w:szCs w:val="24"/>
                <w:highlight w:val="none"/>
                <w:lang w:val="en-US" w:eastAsia="zh" w:bidi="ar"/>
              </w:rPr>
              <w:t>100</w:t>
            </w:r>
            <w:r>
              <w:rPr>
                <w:rFonts w:hint="default" w:ascii="仿宋_GB2312" w:hAnsi="宋体" w:eastAsia="仿宋_GB2312" w:cs="仿宋_GB2312"/>
                <w:kern w:val="2"/>
                <w:sz w:val="24"/>
                <w:szCs w:val="24"/>
                <w:highlight w:val="none"/>
                <w:lang w:val="en-US" w:eastAsia="zh-CN"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0" w:hRule="atLeast"/>
          <w:jc w:val="center"/>
        </w:trPr>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政策实施</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25.00</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仿宋_GB2312"/>
                <w:kern w:val="2"/>
                <w:sz w:val="24"/>
                <w:szCs w:val="24"/>
                <w:highlight w:val="none"/>
                <w:lang w:eastAsia="zh"/>
              </w:rPr>
            </w:pPr>
            <w:r>
              <w:rPr>
                <w:rFonts w:hint="eastAsia" w:ascii="仿宋_GB2312" w:eastAsia="仿宋_GB2312" w:cs="仿宋_GB2312"/>
                <w:kern w:val="2"/>
                <w:sz w:val="24"/>
                <w:szCs w:val="24"/>
                <w:highlight w:val="none"/>
                <w:lang w:eastAsia="zh"/>
              </w:rPr>
              <w:t>20.67</w:t>
            </w:r>
          </w:p>
        </w:tc>
        <w:tc>
          <w:tcPr>
            <w:tcW w:w="22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eastAsia" w:ascii="仿宋_GB2312" w:eastAsia="仿宋_GB2312" w:cs="仿宋_GB2312"/>
                <w:kern w:val="2"/>
                <w:sz w:val="24"/>
                <w:szCs w:val="24"/>
                <w:highlight w:val="none"/>
                <w:lang w:val="en-US" w:eastAsia="zh" w:bidi="ar"/>
              </w:rPr>
              <w:t>82</w:t>
            </w:r>
            <w:r>
              <w:rPr>
                <w:rFonts w:hint="default" w:ascii="仿宋_GB2312" w:hAnsi="宋体" w:eastAsia="仿宋_GB2312" w:cs="仿宋_GB2312"/>
                <w:kern w:val="2"/>
                <w:sz w:val="24"/>
                <w:szCs w:val="24"/>
                <w:highlight w:val="none"/>
                <w:lang w:val="en-US" w:eastAsia="zh-CN" w:bidi="ar"/>
              </w:rPr>
              <w:t>.</w:t>
            </w:r>
            <w:r>
              <w:rPr>
                <w:rFonts w:hint="eastAsia" w:ascii="仿宋_GB2312" w:eastAsia="仿宋_GB2312" w:cs="仿宋_GB2312"/>
                <w:kern w:val="2"/>
                <w:sz w:val="24"/>
                <w:szCs w:val="24"/>
                <w:highlight w:val="none"/>
                <w:lang w:val="en-US" w:eastAsia="zh" w:bidi="ar"/>
              </w:rPr>
              <w:t>68</w:t>
            </w:r>
            <w:r>
              <w:rPr>
                <w:rFonts w:hint="default" w:ascii="仿宋_GB2312" w:hAnsi="宋体" w:eastAsia="仿宋_GB2312" w:cs="仿宋_GB2312"/>
                <w:kern w:val="2"/>
                <w:sz w:val="24"/>
                <w:szCs w:val="24"/>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0" w:hRule="atLeast"/>
          <w:jc w:val="center"/>
        </w:trPr>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政策效果</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55.00</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仿宋_GB2312"/>
                <w:kern w:val="2"/>
                <w:sz w:val="24"/>
                <w:szCs w:val="24"/>
                <w:highlight w:val="none"/>
                <w:lang w:eastAsia="zh"/>
              </w:rPr>
            </w:pPr>
            <w:r>
              <w:rPr>
                <w:rFonts w:hint="eastAsia" w:ascii="仿宋_GB2312" w:eastAsia="仿宋_GB2312" w:cs="仿宋_GB2312"/>
                <w:kern w:val="2"/>
                <w:sz w:val="24"/>
                <w:szCs w:val="24"/>
                <w:highlight w:val="none"/>
                <w:lang w:eastAsia="zh"/>
              </w:rPr>
              <w:t>45.28</w:t>
            </w:r>
          </w:p>
        </w:tc>
        <w:tc>
          <w:tcPr>
            <w:tcW w:w="22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eastAsia" w:ascii="仿宋_GB2312" w:eastAsia="仿宋_GB2312" w:cs="仿宋_GB2312"/>
                <w:kern w:val="2"/>
                <w:sz w:val="24"/>
                <w:szCs w:val="24"/>
                <w:highlight w:val="none"/>
                <w:lang w:val="en-US" w:eastAsia="zh" w:bidi="ar"/>
              </w:rPr>
              <w:t>82.33</w:t>
            </w:r>
            <w:r>
              <w:rPr>
                <w:rFonts w:hint="default" w:ascii="仿宋_GB2312" w:hAnsi="宋体" w:eastAsia="仿宋_GB2312" w:cs="仿宋_GB2312"/>
                <w:kern w:val="2"/>
                <w:sz w:val="24"/>
                <w:szCs w:val="24"/>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0" w:hRule="atLeast"/>
          <w:jc w:val="center"/>
        </w:trPr>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Calibri" w:eastAsia="仿宋_GB2312" w:cs="仿宋_GB2312"/>
                <w:kern w:val="2"/>
                <w:sz w:val="24"/>
                <w:szCs w:val="24"/>
                <w:highlight w:val="none"/>
                <w:lang w:val="en-US" w:eastAsia="zh-CN" w:bidi="ar"/>
              </w:rPr>
              <w:t>合计</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100.00</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仿宋_GB2312"/>
                <w:kern w:val="2"/>
                <w:sz w:val="24"/>
                <w:szCs w:val="24"/>
                <w:highlight w:val="none"/>
                <w:lang w:eastAsia="zh"/>
              </w:rPr>
            </w:pPr>
            <w:r>
              <w:rPr>
                <w:rFonts w:hint="eastAsia" w:ascii="仿宋_GB2312" w:eastAsia="仿宋_GB2312" w:cs="仿宋_GB2312"/>
                <w:kern w:val="2"/>
                <w:sz w:val="24"/>
                <w:szCs w:val="24"/>
                <w:highlight w:val="none"/>
                <w:lang w:eastAsia="zh"/>
              </w:rPr>
              <w:t>85.95</w:t>
            </w:r>
          </w:p>
        </w:tc>
        <w:tc>
          <w:tcPr>
            <w:tcW w:w="22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eastAsia" w:ascii="仿宋_GB2312" w:eastAsia="仿宋_GB2312" w:cs="仿宋_GB2312"/>
                <w:kern w:val="2"/>
                <w:sz w:val="24"/>
                <w:szCs w:val="24"/>
                <w:highlight w:val="none"/>
                <w:lang w:val="en-US" w:eastAsia="zh" w:bidi="ar"/>
              </w:rPr>
              <w:t>85.95</w:t>
            </w:r>
            <w:r>
              <w:rPr>
                <w:rFonts w:hint="default" w:ascii="仿宋_GB2312" w:hAnsi="宋体" w:eastAsia="仿宋_GB2312" w:cs="仿宋_GB2312"/>
                <w:kern w:val="2"/>
                <w:sz w:val="24"/>
                <w:szCs w:val="24"/>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0" w:hRule="atLeast"/>
          <w:jc w:val="center"/>
        </w:trPr>
        <w:tc>
          <w:tcPr>
            <w:tcW w:w="884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Calibri" w:eastAsia="仿宋_GB2312" w:cs="仿宋_GB2312"/>
                <w:kern w:val="2"/>
                <w:sz w:val="24"/>
                <w:szCs w:val="24"/>
                <w:highlight w:val="none"/>
                <w:lang w:val="en-US" w:eastAsia="zh-CN" w:bidi="ar"/>
              </w:rPr>
              <w:t>绩效评价得分：</w:t>
            </w:r>
            <w:r>
              <w:rPr>
                <w:rFonts w:hint="eastAsia" w:ascii="仿宋_GB2312" w:hAnsi="Calibri" w:eastAsia="仿宋_GB2312" w:cs="仿宋_GB2312"/>
                <w:kern w:val="2"/>
                <w:sz w:val="24"/>
                <w:szCs w:val="24"/>
                <w:highlight w:val="none"/>
                <w:lang w:val="en-US" w:eastAsia="zh" w:bidi="ar"/>
              </w:rPr>
              <w:t xml:space="preserve">85.95    </w:t>
            </w:r>
            <w:r>
              <w:rPr>
                <w:rFonts w:hint="default" w:ascii="仿宋_GB2312" w:hAnsi="Calibri" w:eastAsia="仿宋_GB2312" w:cs="仿宋_GB2312"/>
                <w:kern w:val="2"/>
                <w:sz w:val="24"/>
                <w:szCs w:val="24"/>
                <w:highlight w:val="none"/>
                <w:lang w:val="en-US" w:eastAsia="zh-CN" w:bidi="ar"/>
              </w:rPr>
              <w:t>分评价结果等级：良</w:t>
            </w:r>
          </w:p>
        </w:tc>
      </w:tr>
    </w:tbl>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
        </w:rPr>
        <w:t>（二）指标</w:t>
      </w:r>
      <w:r>
        <w:rPr>
          <w:rFonts w:hint="eastAsia" w:ascii="楷体_GB2312" w:hAnsi="楷体_GB2312" w:eastAsia="楷体_GB2312" w:cs="楷体_GB2312"/>
          <w:kern w:val="2"/>
          <w:sz w:val="32"/>
          <w:szCs w:val="40"/>
          <w:highlight w:val="none"/>
          <w:lang w:val="en-US" w:eastAsia="zh-CN"/>
        </w:rPr>
        <w:t>分析</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CN"/>
        </w:rPr>
        <w:t>1.政策制定</w:t>
      </w:r>
      <w:r>
        <w:rPr>
          <w:rFonts w:hint="eastAsia" w:ascii="仿宋_GB2312" w:hAnsi="仿宋_GB2312" w:eastAsia="仿宋_GB2312" w:cs="仿宋_GB2312"/>
          <w:kern w:val="2"/>
          <w:sz w:val="32"/>
          <w:szCs w:val="40"/>
          <w:highlight w:val="none"/>
          <w:lang w:val="en-US" w:eastAsia="zh"/>
        </w:rPr>
        <w:t>指标分析</w:t>
      </w:r>
      <w:r>
        <w:rPr>
          <w:rFonts w:hint="eastAsia" w:ascii="仿宋_GB2312" w:hAnsi="仿宋_GB2312" w:eastAsia="仿宋_GB2312" w:cs="仿宋_GB2312"/>
          <w:kern w:val="2"/>
          <w:sz w:val="32"/>
          <w:szCs w:val="40"/>
          <w:highlight w:val="none"/>
          <w:lang w:val="en-US" w:eastAsia="zh-CN"/>
        </w:rPr>
        <w:t>。</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指标分值 20分，得20分，得分率100.00%。</w:t>
      </w:r>
    </w:p>
    <w:tbl>
      <w:tblPr>
        <w:tblStyle w:val="29"/>
        <w:tblW w:w="88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1634"/>
        <w:gridCol w:w="1904"/>
        <w:gridCol w:w="1769"/>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一级指标</w:t>
            </w:r>
          </w:p>
        </w:tc>
        <w:tc>
          <w:tcPr>
            <w:tcW w:w="1634"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二级指标</w:t>
            </w:r>
          </w:p>
        </w:tc>
        <w:tc>
          <w:tcPr>
            <w:tcW w:w="1904"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三级指标</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权重</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restart"/>
            <w:vAlign w:val="center"/>
          </w:tcPr>
          <w:p>
            <w:pPr>
              <w:pStyle w:val="30"/>
              <w:keepNext w:val="0"/>
              <w:keepLines w:val="0"/>
              <w:numPr>
                <w:ilvl w:val="0"/>
                <w:numId w:val="0"/>
              </w:numPr>
              <w:suppressLineNumbers w:val="0"/>
              <w:spacing w:before="0" w:beforeAutospacing="0" w:after="0" w:afterAutospacing="0"/>
              <w:ind w:left="0" w:leftChars="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政策制定</w:t>
            </w:r>
          </w:p>
          <w:p>
            <w:pPr>
              <w:pStyle w:val="30"/>
              <w:keepNext w:val="0"/>
              <w:keepLines w:val="0"/>
              <w:numPr>
                <w:ilvl w:val="0"/>
                <w:numId w:val="0"/>
              </w:numPr>
              <w:suppressLineNumbers w:val="0"/>
              <w:spacing w:before="0" w:beforeAutospacing="0" w:after="0" w:afterAutospacing="0"/>
              <w:ind w:left="0" w:leftChars="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（20分</w:t>
            </w:r>
          </w:p>
        </w:tc>
        <w:tc>
          <w:tcPr>
            <w:tcW w:w="1634" w:type="dxa"/>
            <w:vMerge w:val="restart"/>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政策设立</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（6分）</w:t>
            </w:r>
          </w:p>
        </w:tc>
        <w:tc>
          <w:tcPr>
            <w:tcW w:w="1904"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设立依据充分性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（3分）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3.00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numPr>
                <w:ilvl w:val="0"/>
                <w:numId w:val="0"/>
              </w:numPr>
              <w:suppressLineNumbers w:val="0"/>
              <w:spacing w:before="0" w:beforeAutospacing="0" w:after="0" w:afterAutospacing="0"/>
              <w:ind w:left="0" w:leftChars="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p>
        </w:tc>
        <w:tc>
          <w:tcPr>
            <w:tcW w:w="1634"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p>
        </w:tc>
        <w:tc>
          <w:tcPr>
            <w:tcW w:w="1904"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政策制定科学性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（3分）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3.00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r>
              <w:rPr>
                <w:rFonts w:hint="eastAsia" w:ascii="仿宋_GB2312" w:hAnsi="仿宋_GB2312" w:eastAsia="仿宋_GB2312" w:cs="仿宋_GB2312"/>
                <w:i w:val="0"/>
                <w:iCs w:val="0"/>
                <w:color w:val="000000"/>
                <w:kern w:val="0"/>
                <w:sz w:val="24"/>
                <w:szCs w:val="24"/>
                <w:highlight w:val="none"/>
                <w:u w:val="none"/>
                <w:lang w:val="en-US" w:eastAsia="zh" w:bidi="ar"/>
              </w:rPr>
              <w:t>3</w:t>
            </w:r>
            <w:r>
              <w:rPr>
                <w:rFonts w:hint="default" w:ascii="仿宋_GB2312" w:hAnsi="仿宋_GB2312" w:eastAsia="仿宋_GB2312" w:cs="仿宋_GB2312"/>
                <w:i w:val="0"/>
                <w:iCs w:val="0"/>
                <w:color w:val="000000"/>
                <w:kern w:val="0"/>
                <w:sz w:val="24"/>
                <w:szCs w:val="24"/>
                <w:highlight w:val="none"/>
                <w:u w:val="none"/>
                <w:lang w:val="en-US" w:eastAsia="zh-CN" w:bidi="ar"/>
              </w:rPr>
              <w:t xml:space="preserve">.00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numPr>
                <w:ilvl w:val="0"/>
                <w:numId w:val="0"/>
              </w:numPr>
              <w:suppressLineNumbers w:val="0"/>
              <w:spacing w:before="0" w:beforeAutospacing="0" w:after="0" w:afterAutospacing="0"/>
              <w:ind w:left="0" w:leftChars="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p>
        </w:tc>
        <w:tc>
          <w:tcPr>
            <w:tcW w:w="1634"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政策目标</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（4分）</w:t>
            </w:r>
          </w:p>
        </w:tc>
        <w:tc>
          <w:tcPr>
            <w:tcW w:w="1904"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目标合理性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（4分）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4.00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4.00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numPr>
                <w:ilvl w:val="0"/>
                <w:numId w:val="0"/>
              </w:numPr>
              <w:suppressLineNumbers w:val="0"/>
              <w:spacing w:before="0" w:beforeAutospacing="0" w:after="0" w:afterAutospacing="0"/>
              <w:ind w:left="0" w:leftChars="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p>
        </w:tc>
        <w:tc>
          <w:tcPr>
            <w:tcW w:w="1634"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资金安排</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（10分）</w:t>
            </w:r>
          </w:p>
        </w:tc>
        <w:tc>
          <w:tcPr>
            <w:tcW w:w="1904"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资金分配合理性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10.00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10.00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5307" w:type="dxa"/>
            <w:gridSpan w:val="3"/>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合计</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20.00</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eastAsia" w:ascii="仿宋_GB2312" w:hAnsi="仿宋_GB2312" w:eastAsia="仿宋_GB2312" w:cs="仿宋_GB2312"/>
                <w:color w:val="auto"/>
                <w:kern w:val="2"/>
                <w:sz w:val="24"/>
                <w:szCs w:val="24"/>
                <w:highlight w:val="none"/>
                <w:shd w:val="clear" w:color="auto" w:fill="auto"/>
                <w:vertAlign w:val="baseline"/>
                <w:lang w:val="en-US" w:eastAsia="zh"/>
              </w:rPr>
              <w:t>20</w:t>
            </w:r>
            <w:r>
              <w:rPr>
                <w:rFonts w:hint="default" w:ascii="仿宋_GB2312" w:hAnsi="仿宋_GB2312" w:eastAsia="仿宋_GB2312" w:cs="仿宋_GB2312"/>
                <w:color w:val="auto"/>
                <w:kern w:val="2"/>
                <w:sz w:val="24"/>
                <w:szCs w:val="24"/>
                <w:highlight w:val="none"/>
                <w:shd w:val="clear" w:color="auto" w:fill="auto"/>
                <w:vertAlign w:val="baseline"/>
                <w:lang w:val="en-US" w:eastAsia="zh"/>
              </w:rPr>
              <w:t>.00</w:t>
            </w:r>
          </w:p>
        </w:tc>
      </w:tr>
    </w:tbl>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（1）设立依据充分性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该指标满分为3分,根据评分标准得3分，设立依据充分。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（2）政策制定科学性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该指标满分为3分,根据评分标准得3分，政策制定科学。</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（3）目标合理性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该指标满分为4分,根据评分标准得4分,绩效目标合理。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（4）资金分配合理性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该指标满分为10分，根据评分标准得10分,资金分配合理。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w:t>
      </w:r>
      <w:r>
        <w:rPr>
          <w:rFonts w:hint="eastAsia" w:ascii="仿宋_GB2312" w:hAnsi="仿宋_GB2312" w:eastAsia="仿宋_GB2312" w:cs="仿宋_GB2312"/>
          <w:kern w:val="2"/>
          <w:sz w:val="32"/>
          <w:szCs w:val="40"/>
          <w:highlight w:val="none"/>
          <w:lang w:val="en-US" w:eastAsia="zh-CN"/>
        </w:rPr>
        <w:t>政策实施</w:t>
      </w:r>
      <w:r>
        <w:rPr>
          <w:rFonts w:hint="eastAsia" w:ascii="仿宋_GB2312" w:hAnsi="仿宋_GB2312" w:eastAsia="仿宋_GB2312" w:cs="仿宋_GB2312"/>
          <w:kern w:val="2"/>
          <w:sz w:val="32"/>
          <w:szCs w:val="40"/>
          <w:highlight w:val="none"/>
          <w:lang w:val="en-US" w:eastAsia="zh"/>
        </w:rPr>
        <w:t>指标分析</w:t>
      </w:r>
      <w:r>
        <w:rPr>
          <w:rFonts w:hint="eastAsia" w:ascii="仿宋_GB2312" w:hAnsi="仿宋_GB2312" w:eastAsia="仿宋_GB2312" w:cs="仿宋_GB2312"/>
          <w:kern w:val="2"/>
          <w:sz w:val="32"/>
          <w:szCs w:val="40"/>
          <w:highlight w:val="none"/>
          <w:lang w:val="en-US" w:eastAsia="zh-CN"/>
        </w:rPr>
        <w:t>。</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指标分值 25分，得20.67分，得分率82.68%。</w:t>
      </w:r>
    </w:p>
    <w:tbl>
      <w:tblPr>
        <w:tblStyle w:val="29"/>
        <w:tblW w:w="88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1619"/>
        <w:gridCol w:w="2135"/>
        <w:gridCol w:w="1553"/>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一级指标</w:t>
            </w:r>
          </w:p>
        </w:tc>
        <w:tc>
          <w:tcPr>
            <w:tcW w:w="161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二级指标</w:t>
            </w:r>
          </w:p>
        </w:tc>
        <w:tc>
          <w:tcPr>
            <w:tcW w:w="2135"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三级指标</w:t>
            </w:r>
          </w:p>
        </w:tc>
        <w:tc>
          <w:tcPr>
            <w:tcW w:w="1553"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权重</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restart"/>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政策实施</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（25分）</w:t>
            </w:r>
          </w:p>
        </w:tc>
        <w:tc>
          <w:tcPr>
            <w:tcW w:w="1619" w:type="dxa"/>
            <w:vMerge w:val="restart"/>
            <w:shd w:val="clear" w:color="auto" w:fill="auto"/>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资金管理</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（15分）</w:t>
            </w:r>
          </w:p>
        </w:tc>
        <w:tc>
          <w:tcPr>
            <w:tcW w:w="2135"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i w:val="0"/>
                <w:iCs w:val="0"/>
                <w:color w:val="000000"/>
                <w:kern w:val="0"/>
                <w:sz w:val="24"/>
                <w:szCs w:val="24"/>
                <w:highlight w:val="none"/>
                <w:u w:val="none"/>
                <w:lang w:val="en-US" w:eastAsia="zh-CN" w:bidi="ar"/>
              </w:rPr>
              <w:t>资金到位保障</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553"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p>
        </w:tc>
        <w:tc>
          <w:tcPr>
            <w:tcW w:w="1619" w:type="dxa"/>
            <w:vMerge w:val="continue"/>
            <w:shd w:val="clear" w:color="auto" w:fill="auto"/>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p>
        </w:tc>
        <w:tc>
          <w:tcPr>
            <w:tcW w:w="2135"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default" w:ascii="仿宋_GB2312" w:hAnsi="仿宋_GB2312" w:eastAsia="仿宋_GB2312" w:cs="仿宋_GB2312"/>
                <w:i w:val="0"/>
                <w:iCs w:val="0"/>
                <w:color w:val="000000"/>
                <w:kern w:val="0"/>
                <w:sz w:val="24"/>
                <w:szCs w:val="24"/>
                <w:highlight w:val="none"/>
                <w:u w:val="none"/>
                <w:lang w:val="en-US" w:eastAsia="zh-CN" w:bidi="ar"/>
              </w:rPr>
              <w:t>预算执行率</w:t>
            </w:r>
          </w:p>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553"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r>
              <w:rPr>
                <w:rFonts w:hint="eastAsia" w:ascii="仿宋_GB2312" w:hAnsi="仿宋_GB2312" w:eastAsia="仿宋_GB2312" w:cs="仿宋_GB2312"/>
                <w:i w:val="0"/>
                <w:iCs w:val="0"/>
                <w:color w:val="000000"/>
                <w:kern w:val="0"/>
                <w:sz w:val="24"/>
                <w:szCs w:val="24"/>
                <w:highlight w:val="none"/>
                <w:u w:val="none"/>
                <w:lang w:val="en-US" w:eastAsia="zh" w:bidi="ar"/>
              </w:rPr>
              <w:t>3</w:t>
            </w:r>
            <w:r>
              <w:rPr>
                <w:rFonts w:hint="default" w:ascii="仿宋_GB2312" w:hAnsi="仿宋_GB2312" w:eastAsia="仿宋_GB2312" w:cs="仿宋_GB2312"/>
                <w:i w:val="0"/>
                <w:iCs w:val="0"/>
                <w:color w:val="000000"/>
                <w:kern w:val="0"/>
                <w:sz w:val="24"/>
                <w:szCs w:val="24"/>
                <w:highlight w:val="none"/>
                <w:u w:val="none"/>
                <w:lang w:val="en-US" w:eastAsia="zh-CN" w:bidi="ar"/>
              </w:rPr>
              <w:t>.</w:t>
            </w:r>
            <w:r>
              <w:rPr>
                <w:rFonts w:hint="eastAsia" w:ascii="仿宋_GB2312" w:hAnsi="仿宋_GB2312" w:eastAsia="仿宋_GB2312" w:cs="仿宋_GB2312"/>
                <w:i w:val="0"/>
                <w:iCs w:val="0"/>
                <w:color w:val="000000"/>
                <w:kern w:val="0"/>
                <w:sz w:val="24"/>
                <w:szCs w:val="24"/>
                <w:highlight w:val="none"/>
                <w:u w:val="none"/>
                <w:lang w:val="en-US" w:eastAsia="zh" w:bidi="ar"/>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p>
        </w:tc>
        <w:tc>
          <w:tcPr>
            <w:tcW w:w="1619" w:type="dxa"/>
            <w:vMerge w:val="continue"/>
            <w:shd w:val="clear" w:color="auto" w:fill="auto"/>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p>
        </w:tc>
        <w:tc>
          <w:tcPr>
            <w:tcW w:w="2135"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i w:val="0"/>
                <w:iCs w:val="0"/>
                <w:color w:val="000000"/>
                <w:kern w:val="0"/>
                <w:sz w:val="24"/>
                <w:szCs w:val="24"/>
                <w:highlight w:val="none"/>
                <w:u w:val="none"/>
                <w:lang w:val="en-US" w:eastAsia="zh-CN" w:bidi="ar"/>
              </w:rPr>
              <w:t>资金使用规范性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553"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p>
        </w:tc>
        <w:tc>
          <w:tcPr>
            <w:tcW w:w="1619" w:type="dxa"/>
            <w:vMerge w:val="restart"/>
            <w:shd w:val="clear" w:color="auto" w:fill="auto"/>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t>保障机制</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t>（10分）</w:t>
            </w:r>
          </w:p>
        </w:tc>
        <w:tc>
          <w:tcPr>
            <w:tcW w:w="2135"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i w:val="0"/>
                <w:iCs w:val="0"/>
                <w:color w:val="000000"/>
                <w:kern w:val="0"/>
                <w:sz w:val="24"/>
                <w:szCs w:val="24"/>
                <w:highlight w:val="none"/>
                <w:u w:val="none"/>
                <w:lang w:val="en-US" w:eastAsia="zh-CN" w:bidi="ar"/>
              </w:rPr>
              <w:t>政策制度健全性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553"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p>
        </w:tc>
        <w:tc>
          <w:tcPr>
            <w:tcW w:w="1619" w:type="dxa"/>
            <w:vMerge w:val="continue"/>
            <w:shd w:val="clear" w:color="auto" w:fill="auto"/>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p>
        </w:tc>
        <w:tc>
          <w:tcPr>
            <w:tcW w:w="2135"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i w:val="0"/>
                <w:iCs w:val="0"/>
                <w:color w:val="000000"/>
                <w:kern w:val="0"/>
                <w:sz w:val="24"/>
                <w:szCs w:val="24"/>
                <w:highlight w:val="none"/>
                <w:u w:val="none"/>
                <w:lang w:val="en-US" w:eastAsia="zh-CN" w:bidi="ar"/>
              </w:rPr>
              <w:t>政策执行监管</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553"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r>
              <w:rPr>
                <w:rFonts w:hint="eastAsia" w:ascii="仿宋_GB2312" w:hAnsi="仿宋_GB2312" w:eastAsia="仿宋_GB2312" w:cs="仿宋_GB2312"/>
                <w:i w:val="0"/>
                <w:iCs w:val="0"/>
                <w:color w:val="000000"/>
                <w:kern w:val="0"/>
                <w:sz w:val="24"/>
                <w:szCs w:val="24"/>
                <w:highlight w:val="none"/>
                <w:u w:val="none"/>
                <w:lang w:val="en-US" w:eastAsia="zh" w:bidi="ar"/>
              </w:rPr>
              <w:t>2</w:t>
            </w:r>
            <w:r>
              <w:rPr>
                <w:rFonts w:hint="default" w:ascii="仿宋_GB2312" w:hAnsi="仿宋_GB2312" w:eastAsia="仿宋_GB2312" w:cs="仿宋_GB2312"/>
                <w:i w:val="0"/>
                <w:iCs w:val="0"/>
                <w:color w:val="000000"/>
                <w:kern w:val="0"/>
                <w:sz w:val="24"/>
                <w:szCs w:val="24"/>
                <w:highlight w:val="none"/>
                <w:u w:val="none"/>
                <w:lang w:val="en-US" w:eastAsia="zh-CN" w:bidi="ar"/>
              </w:rPr>
              <w:t xml:space="preserve">.00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5523" w:type="dxa"/>
            <w:gridSpan w:val="3"/>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合计</w:t>
            </w:r>
          </w:p>
        </w:tc>
        <w:tc>
          <w:tcPr>
            <w:tcW w:w="1553"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25</w:t>
            </w:r>
            <w:r>
              <w:rPr>
                <w:rFonts w:hint="eastAsia" w:ascii="仿宋_GB2312" w:hAnsi="仿宋_GB2312" w:eastAsia="仿宋_GB2312" w:cs="仿宋_GB2312"/>
                <w:color w:val="auto"/>
                <w:kern w:val="2"/>
                <w:sz w:val="24"/>
                <w:szCs w:val="24"/>
                <w:highlight w:val="none"/>
                <w:shd w:val="clear" w:color="auto" w:fill="auto"/>
                <w:vertAlign w:val="baseline"/>
                <w:lang w:val="en-US" w:eastAsia="zh"/>
              </w:rPr>
              <w:t>.00</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2</w:t>
            </w:r>
            <w:r>
              <w:rPr>
                <w:rFonts w:hint="eastAsia" w:ascii="仿宋_GB2312" w:hAnsi="仿宋_GB2312" w:eastAsia="仿宋_GB2312" w:cs="仿宋_GB2312"/>
                <w:color w:val="auto"/>
                <w:kern w:val="2"/>
                <w:sz w:val="24"/>
                <w:szCs w:val="24"/>
                <w:highlight w:val="none"/>
                <w:shd w:val="clear" w:color="auto" w:fill="auto"/>
                <w:vertAlign w:val="baseline"/>
                <w:lang w:val="en-US" w:eastAsia="zh"/>
              </w:rPr>
              <w:t>0.67</w:t>
            </w:r>
          </w:p>
        </w:tc>
      </w:tr>
    </w:tbl>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（1）资金到位保障</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该指标满分为5分,根据评分标准得5分，资金保障到位。</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（2）预算执行率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该指标满分为5分,根据评分标准得3.67分。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2021年度预算安排2,685.00万元，实际执行资金2,685.00万元，预算执行率为100%。2022年度预算安排2,316.00万元，实际执行资金2,316.00万元，预算执行率为100%。2023年度预算安排1,122.00万元，实际执行资金1,113.06万元，预算执行率为99.20%，其中平度市预算执行率为94.89%，预算资金均已申请，财政未拨付。2024年度预算安排4,565.10万元，实际执行资金1,731.81万元，预算执行率为37.94%，其中即墨区预算执行率为58.41%，胶州市预算执行率为64.95%，平度市预算执行率33.35%，莱西市预算执行率16.82%，预算资金均已申请，财政未拨付。2021年-2024年合计预算金额为10688.1万元，实际执行7845.87万元，预算执行率73.41%。得分=5*73.41%=3.67分，扣1.33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（3）资金使用规范性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该指标满分为5分,根据评分标准得5分，资金使用规范。</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（4）政策制度健全性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该指标满分为5分,根据评分标准得5分，政策制度健全。</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（5）政策执行监管</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该指标满分为5分,根据评分标准得2分。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①评价组抽查畜牧业安全监管信息平台的无害化处理记录发现，莱西市养殖户徐文学于2025年6月30日提交一只病死羊的无害化处理申报记录显示删除原因是“重复申报”，删除人是“莱西无害化处理厂”。评价组与养殖户徐文学核实情况反馈，这只病死羊已被无害化处理厂拉走处理，但收集人未对徐文学填报《病死畜禽无害化处理收集登记表》，收集人向养殖户说明的原因是“该羊体型较小”。该补助政策明确“（二）病死牛羊无害化处理补助标准。……病死羊补助26元/只，其中养殖、收集、无害化处理环节补助比例……。”该政策明确病死羊补助以只数为单位，而非体积。徐文学养殖户申报该只病死羊符合补助条件，但收集人员未进行收集登记、且无害化处理厂删除养殖户申报信息，徐文学养殖户未享受到这只病死羊无害化处理补助，政策实施规范性有待提高。此处扣2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②存在平台上传照片不规范的现象，如：评价组对畜牧业安全监管信息平台抽查发现，莱西市青岛九联集团肉鸡第六十二养殖场于2025年7月11日申报病死鸡一批共456只，所上传的死亡畜禽信息图片共5张，均没有显示这一批病死鸡的实体实物，无法辨认死亡畜禽实际情况，仅能看到袋子外观。平度市郝效波于2025年7月2日申报肉鸡共18只，所上传的死亡畜禽信息图片共7张，均没有显示这一批病死鸡的实体实物，无法辨认死亡畜禽实际情况，仅能看到袋子外观，此处扣1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3.</w:t>
      </w:r>
      <w:r>
        <w:rPr>
          <w:rFonts w:hint="eastAsia" w:ascii="仿宋_GB2312" w:hAnsi="仿宋_GB2312" w:eastAsia="仿宋_GB2312" w:cs="仿宋_GB2312"/>
          <w:kern w:val="2"/>
          <w:sz w:val="32"/>
          <w:szCs w:val="40"/>
          <w:highlight w:val="none"/>
          <w:lang w:val="en-US" w:eastAsia="zh-CN"/>
        </w:rPr>
        <w:t>政策效果</w:t>
      </w:r>
      <w:r>
        <w:rPr>
          <w:rFonts w:hint="eastAsia" w:ascii="仿宋_GB2312" w:hAnsi="仿宋_GB2312" w:eastAsia="仿宋_GB2312" w:cs="仿宋_GB2312"/>
          <w:kern w:val="2"/>
          <w:sz w:val="32"/>
          <w:szCs w:val="40"/>
          <w:highlight w:val="none"/>
          <w:lang w:val="en-US" w:eastAsia="zh"/>
        </w:rPr>
        <w:t>指标分析</w:t>
      </w:r>
      <w:r>
        <w:rPr>
          <w:rFonts w:hint="eastAsia" w:ascii="仿宋_GB2312" w:hAnsi="仿宋_GB2312" w:eastAsia="仿宋_GB2312" w:cs="仿宋_GB2312"/>
          <w:kern w:val="2"/>
          <w:sz w:val="32"/>
          <w:szCs w:val="40"/>
          <w:highlight w:val="none"/>
          <w:lang w:val="en-US" w:eastAsia="zh-CN"/>
        </w:rPr>
        <w:t>。</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指标分值 55分，得45.28分，得分率82.33%。</w:t>
      </w:r>
    </w:p>
    <w:p>
      <w:pPr>
        <w:pStyle w:val="2"/>
        <w:rPr>
          <w:rFonts w:hint="eastAsia"/>
          <w:lang w:val="en-US" w:eastAsia="zh"/>
        </w:rPr>
      </w:pPr>
    </w:p>
    <w:tbl>
      <w:tblPr>
        <w:tblStyle w:val="29"/>
        <w:tblW w:w="88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1769"/>
        <w:gridCol w:w="1769"/>
        <w:gridCol w:w="1769"/>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blHeader/>
        </w:trPr>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一级指标</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二级指标</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三级指标</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权重</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769" w:type="dxa"/>
            <w:vMerge w:val="restart"/>
            <w:vAlign w:val="center"/>
          </w:tcPr>
          <w:p>
            <w:pPr>
              <w:pStyle w:val="30"/>
              <w:keepNext w:val="0"/>
              <w:keepLines w:val="0"/>
              <w:suppressLineNumbers w:val="0"/>
              <w:spacing w:before="0" w:beforeAutospacing="0" w:after="0" w:afterAutospacing="0"/>
              <w:ind w:left="0" w:right="0"/>
              <w:jc w:val="both"/>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p>
            <w:pPr>
              <w:pStyle w:val="30"/>
              <w:keepNext w:val="0"/>
              <w:keepLines w:val="0"/>
              <w:suppressLineNumbers w:val="0"/>
              <w:spacing w:before="0" w:beforeAutospacing="0" w:after="0" w:afterAutospacing="0"/>
              <w:ind w:left="0" w:right="0"/>
              <w:jc w:val="both"/>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p>
            <w:pPr>
              <w:pStyle w:val="30"/>
              <w:keepNext w:val="0"/>
              <w:keepLines w:val="0"/>
              <w:suppressLineNumbers w:val="0"/>
              <w:spacing w:before="0" w:beforeAutospacing="0" w:after="0" w:afterAutospacing="0"/>
              <w:ind w:left="0" w:right="0"/>
              <w:jc w:val="both"/>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p>
            <w:pPr>
              <w:pStyle w:val="30"/>
              <w:keepNext w:val="0"/>
              <w:keepLines w:val="0"/>
              <w:suppressLineNumbers w:val="0"/>
              <w:spacing w:before="0" w:beforeAutospacing="0" w:after="0" w:afterAutospacing="0"/>
              <w:ind w:left="0" w:right="0"/>
              <w:jc w:val="both"/>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p>
            <w:pPr>
              <w:pStyle w:val="30"/>
              <w:keepNext w:val="0"/>
              <w:keepLines w:val="0"/>
              <w:suppressLineNumbers w:val="0"/>
              <w:spacing w:before="0" w:beforeAutospacing="0" w:after="0" w:afterAutospacing="0"/>
              <w:ind w:left="0" w:right="0"/>
              <w:jc w:val="both"/>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政策效果</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（55分）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产出数量</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病死畜禽无害化处理率</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10.00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r>
              <w:rPr>
                <w:rFonts w:hint="eastAsia" w:ascii="仿宋_GB2312" w:hAnsi="仿宋_GB2312" w:eastAsia="仿宋_GB2312" w:cs="仿宋_GB2312"/>
                <w:i w:val="0"/>
                <w:iCs w:val="0"/>
                <w:color w:val="000000"/>
                <w:kern w:val="0"/>
                <w:sz w:val="24"/>
                <w:szCs w:val="24"/>
                <w:highlight w:val="none"/>
                <w:u w:val="none"/>
                <w:lang w:val="en-US" w:eastAsia="zh" w:bidi="ar"/>
              </w:rPr>
              <w:t>10</w:t>
            </w:r>
            <w:r>
              <w:rPr>
                <w:rFonts w:hint="default" w:ascii="仿宋_GB2312" w:hAnsi="仿宋_GB2312" w:eastAsia="仿宋_GB2312" w:cs="仿宋_GB2312"/>
                <w:i w:val="0"/>
                <w:iCs w:val="0"/>
                <w:color w:val="000000"/>
                <w:kern w:val="0"/>
                <w:sz w:val="24"/>
                <w:szCs w:val="24"/>
                <w:highlight w:val="none"/>
                <w:u w:val="none"/>
                <w:lang w:val="en-US" w:eastAsia="zh-CN" w:bidi="ar"/>
              </w:rPr>
              <w:t xml:space="preserve">.00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产出时效</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w:t>
            </w:r>
            <w:r>
              <w:rPr>
                <w:rFonts w:hint="eastAsia" w:ascii="仿宋_GB2312" w:hAnsi="仿宋_GB2312" w:eastAsia="仿宋_GB2312" w:cs="仿宋_GB2312"/>
                <w:i w:val="0"/>
                <w:iCs w:val="0"/>
                <w:color w:val="000000"/>
                <w:kern w:val="0"/>
                <w:sz w:val="24"/>
                <w:szCs w:val="24"/>
                <w:highlight w:val="none"/>
                <w:u w:val="none"/>
                <w:lang w:val="en-US" w:eastAsia="zh" w:bidi="ar"/>
              </w:rPr>
              <w:t>2</w:t>
            </w:r>
            <w:r>
              <w:rPr>
                <w:rFonts w:hint="default" w:ascii="仿宋_GB2312" w:hAnsi="仿宋_GB2312" w:eastAsia="仿宋_GB2312" w:cs="仿宋_GB2312"/>
                <w:i w:val="0"/>
                <w:iCs w:val="0"/>
                <w:color w:val="000000"/>
                <w:kern w:val="0"/>
                <w:sz w:val="24"/>
                <w:szCs w:val="24"/>
                <w:highlight w:val="none"/>
                <w:u w:val="none"/>
                <w:lang w:val="en-US" w:eastAsia="zh-CN" w:bidi="ar"/>
              </w:rPr>
              <w:t>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u w:val="none"/>
                <w:lang w:val="en-US" w:eastAsia="zh-CN" w:bidi="ar"/>
              </w:rPr>
              <w:t>无害化处理的</w:t>
            </w:r>
            <w:r>
              <w:rPr>
                <w:rFonts w:hint="default" w:ascii="仿宋_GB2312" w:hAnsi="仿宋_GB2312" w:eastAsia="仿宋_GB2312" w:cs="仿宋_GB2312"/>
                <w:i w:val="0"/>
                <w:iCs w:val="0"/>
                <w:color w:val="000000"/>
                <w:kern w:val="0"/>
                <w:sz w:val="24"/>
                <w:szCs w:val="24"/>
                <w:u w:val="none"/>
                <w:lang w:val="en-US" w:eastAsia="zh-CN" w:bidi="ar"/>
              </w:rPr>
              <w:br w:type="textWrapping"/>
            </w:r>
            <w:r>
              <w:rPr>
                <w:rFonts w:hint="default" w:ascii="仿宋_GB2312" w:hAnsi="仿宋_GB2312" w:eastAsia="仿宋_GB2312" w:cs="仿宋_GB2312"/>
                <w:i w:val="0"/>
                <w:iCs w:val="0"/>
                <w:color w:val="000000"/>
                <w:kern w:val="0"/>
                <w:sz w:val="24"/>
                <w:szCs w:val="24"/>
                <w:u w:val="none"/>
                <w:lang w:val="en-US" w:eastAsia="zh-CN" w:bidi="ar"/>
              </w:rPr>
              <w:t>及时性</w:t>
            </w:r>
            <w:r>
              <w:rPr>
                <w:rFonts w:hint="default" w:ascii="仿宋_GB2312" w:hAnsi="仿宋_GB2312" w:eastAsia="仿宋_GB2312" w:cs="仿宋_GB2312"/>
                <w:i w:val="0"/>
                <w:iCs w:val="0"/>
                <w:color w:val="000000"/>
                <w:kern w:val="0"/>
                <w:sz w:val="24"/>
                <w:szCs w:val="24"/>
                <w:u w:val="none"/>
                <w:lang w:val="en-US" w:eastAsia="zh-CN" w:bidi="ar"/>
              </w:rPr>
              <w:br w:type="textWrapping"/>
            </w:r>
            <w:r>
              <w:rPr>
                <w:rFonts w:hint="default" w:ascii="仿宋_GB2312" w:hAnsi="仿宋_GB2312" w:eastAsia="仿宋_GB2312" w:cs="仿宋_GB2312"/>
                <w:i w:val="0"/>
                <w:iCs w:val="0"/>
                <w:color w:val="000000"/>
                <w:kern w:val="0"/>
                <w:sz w:val="24"/>
                <w:szCs w:val="24"/>
                <w:u w:val="none"/>
                <w:lang w:val="en-US" w:eastAsia="zh-CN" w:bidi="ar"/>
              </w:rPr>
              <w:t>（</w:t>
            </w:r>
            <w:r>
              <w:rPr>
                <w:rFonts w:hint="default" w:ascii="仿宋_GB2312" w:hAnsi="仿宋_GB2312" w:eastAsia="仿宋_GB2312" w:cs="仿宋_GB2312"/>
                <w:i w:val="0"/>
                <w:iCs w:val="0"/>
                <w:color w:val="000000"/>
                <w:kern w:val="0"/>
                <w:sz w:val="24"/>
                <w:szCs w:val="24"/>
                <w:u w:val="none"/>
                <w:lang w:val="en-US" w:eastAsia="zh" w:bidi="ar"/>
              </w:rPr>
              <w:t>20</w:t>
            </w:r>
            <w:r>
              <w:rPr>
                <w:rFonts w:hint="default" w:ascii="仿宋_GB2312" w:hAnsi="仿宋_GB2312" w:eastAsia="仿宋_GB2312" w:cs="仿宋_GB2312"/>
                <w:i w:val="0"/>
                <w:iCs w:val="0"/>
                <w:color w:val="000000"/>
                <w:kern w:val="0"/>
                <w:sz w:val="24"/>
                <w:szCs w:val="24"/>
                <w:u w:val="none"/>
                <w:lang w:val="en-US" w:eastAsia="zh-CN" w:bidi="ar"/>
              </w:rPr>
              <w:t>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 w:bidi="ar"/>
              </w:rPr>
            </w:pPr>
            <w:r>
              <w:rPr>
                <w:rFonts w:hint="eastAsia" w:ascii="仿宋_GB2312" w:hAnsi="仿宋_GB2312" w:eastAsia="仿宋_GB2312" w:cs="仿宋_GB2312"/>
                <w:i w:val="0"/>
                <w:iCs w:val="0"/>
                <w:color w:val="000000"/>
                <w:kern w:val="0"/>
                <w:sz w:val="24"/>
                <w:szCs w:val="24"/>
                <w:highlight w:val="none"/>
                <w:u w:val="none"/>
                <w:lang w:val="en-US" w:eastAsia="zh" w:bidi="ar"/>
              </w:rPr>
              <w:t>20.</w:t>
            </w:r>
            <w:r>
              <w:rPr>
                <w:rFonts w:hint="eastAsia" w:ascii="仿宋_GB2312" w:hAnsi="仿宋_GB2312" w:eastAsia="仿宋_GB2312" w:cs="仿宋_GB2312"/>
                <w:i w:val="0"/>
                <w:iCs w:val="0"/>
                <w:color w:val="000000"/>
                <w:kern w:val="0"/>
                <w:sz w:val="24"/>
                <w:szCs w:val="24"/>
                <w:highlight w:val="none"/>
                <w:u w:val="none"/>
                <w:lang w:val="en-US" w:eastAsia="zh-CN" w:bidi="ar"/>
              </w:rPr>
              <w:t xml:space="preserve">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 w:bidi="ar"/>
              </w:rPr>
            </w:pPr>
            <w:r>
              <w:rPr>
                <w:rFonts w:hint="eastAsia" w:ascii="仿宋_GB2312" w:hAnsi="仿宋_GB2312" w:eastAsia="仿宋_GB2312" w:cs="仿宋_GB2312"/>
                <w:i w:val="0"/>
                <w:iCs w:val="0"/>
                <w:color w:val="000000"/>
                <w:kern w:val="0"/>
                <w:sz w:val="24"/>
                <w:szCs w:val="24"/>
                <w:highlight w:val="none"/>
                <w:u w:val="none"/>
                <w:lang w:val="en-US" w:eastAsia="zh" w:bidi="ar"/>
              </w:rPr>
              <w:t>12</w:t>
            </w:r>
            <w:r>
              <w:rPr>
                <w:rFonts w:hint="eastAsia" w:ascii="仿宋_GB2312" w:hAnsi="仿宋_GB2312" w:eastAsia="仿宋_GB2312" w:cs="仿宋_GB2312"/>
                <w:i w:val="0"/>
                <w:iCs w:val="0"/>
                <w:color w:val="000000"/>
                <w:kern w:val="0"/>
                <w:sz w:val="24"/>
                <w:szCs w:val="24"/>
                <w:highlight w:val="none"/>
                <w:u w:val="none"/>
                <w:lang w:val="en-US" w:eastAsia="zh-CN" w:bidi="ar"/>
              </w:rPr>
              <w:t xml:space="preserve">.00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社会效益</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 w:bidi="ar"/>
              </w:rPr>
              <w:t>病死畜禽传播重大动物疫病（5分）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eastAsia" w:ascii="仿宋_GB2312" w:hAnsi="仿宋_GB2312" w:eastAsia="仿宋_GB2312" w:cs="仿宋_GB2312"/>
                <w:i w:val="0"/>
                <w:iCs w:val="0"/>
                <w:color w:val="000000"/>
                <w:kern w:val="0"/>
                <w:sz w:val="24"/>
                <w:szCs w:val="24"/>
                <w:highlight w:val="none"/>
                <w:u w:val="none"/>
                <w:lang w:val="en-US" w:eastAsia="zh" w:bidi="ar"/>
              </w:rPr>
              <w:t>5</w:t>
            </w:r>
            <w:r>
              <w:rPr>
                <w:rFonts w:hint="default" w:ascii="仿宋_GB2312" w:hAnsi="仿宋_GB2312" w:eastAsia="仿宋_GB2312" w:cs="仿宋_GB2312"/>
                <w:i w:val="0"/>
                <w:iCs w:val="0"/>
                <w:color w:val="000000"/>
                <w:kern w:val="0"/>
                <w:sz w:val="24"/>
                <w:szCs w:val="24"/>
                <w:highlight w:val="none"/>
                <w:u w:val="none"/>
                <w:lang w:val="en-US" w:eastAsia="zh-CN" w:bidi="ar"/>
              </w:rPr>
              <w:t xml:space="preserve">.00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Merge w:val="restart"/>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可持续影响</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政策可持续性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补助政策知晓率（5分）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r>
              <w:rPr>
                <w:rFonts w:hint="eastAsia" w:ascii="仿宋_GB2312" w:hAnsi="仿宋_GB2312" w:eastAsia="仿宋_GB2312" w:cs="仿宋_GB2312"/>
                <w:i w:val="0"/>
                <w:iCs w:val="0"/>
                <w:color w:val="000000"/>
                <w:kern w:val="0"/>
                <w:sz w:val="24"/>
                <w:szCs w:val="24"/>
                <w:highlight w:val="none"/>
                <w:u w:val="none"/>
                <w:lang w:val="en-US" w:eastAsia="zh" w:bidi="ar"/>
              </w:rPr>
              <w:t>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服务对象</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满意度</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养殖场（户）和无害化处理企业满意度（10分）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10.00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eastAsia" w:ascii="仿宋_GB2312" w:hAnsi="仿宋_GB2312" w:eastAsia="仿宋_GB2312" w:cs="仿宋_GB2312"/>
                <w:i w:val="0"/>
                <w:iCs w:val="0"/>
                <w:color w:val="000000"/>
                <w:kern w:val="0"/>
                <w:sz w:val="24"/>
                <w:szCs w:val="24"/>
                <w:highlight w:val="none"/>
                <w:u w:val="none"/>
                <w:lang w:val="en-US" w:eastAsia="zh" w:bidi="ar"/>
              </w:rPr>
              <w:t>8.46</w:t>
            </w: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07" w:type="dxa"/>
            <w:gridSpan w:val="3"/>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合计</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55.00</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eastAsia" w:ascii="仿宋_GB2312" w:hAnsi="仿宋_GB2312" w:eastAsia="仿宋_GB2312" w:cs="仿宋_GB2312"/>
                <w:color w:val="000000"/>
                <w:kern w:val="2"/>
                <w:sz w:val="24"/>
                <w:szCs w:val="24"/>
                <w:highlight w:val="none"/>
                <w:shd w:val="clear" w:color="auto" w:fill="auto"/>
                <w:vertAlign w:val="baseline"/>
                <w:lang w:val="en-US" w:eastAsia="zh"/>
              </w:rPr>
              <w:t>45.28</w:t>
            </w:r>
          </w:p>
        </w:tc>
      </w:tr>
    </w:tbl>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（1）病死畜禽无害化处理率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该指标满分为10分,根据评分标准得10分。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根据《养殖场申报记录》、《三方确认单》和《企业处理台账》，未发现应处理未处理的情况，无害化处理率为100%，得满分。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（2）无害化处理的及时性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该指标满分为20分,根据评分标准得12分。</w:t>
      </w:r>
    </w:p>
    <w:p>
      <w:pPr>
        <w:pStyle w:val="30"/>
        <w:numPr>
          <w:ilvl w:val="0"/>
          <w:numId w:val="0"/>
        </w:numPr>
        <w:ind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①</w:t>
      </w:r>
      <w:r>
        <w:rPr>
          <w:rFonts w:hint="eastAsia" w:ascii="仿宋_GB2312" w:hAnsi="仿宋_GB2312" w:eastAsia="仿宋_GB2312" w:cs="仿宋_GB2312"/>
          <w:color w:val="auto"/>
          <w:kern w:val="2"/>
          <w:sz w:val="32"/>
          <w:szCs w:val="32"/>
          <w:highlight w:val="none"/>
          <w:shd w:val="clear" w:color="auto" w:fill="auto"/>
          <w:lang w:val="en-US" w:eastAsia="zh"/>
        </w:rPr>
        <w:t>评价组使用市农业农村局权限的账号登畜牧业安全监管信息平台，抽查养殖环节无害化处理模块的红色记录信息情况，发现3条提交申请被删除。该记录显示被删除原因分别是“申报错误”、“重复申报”与“无用信息”。平台显示“删除人”为“防疫科”、“无害化处理厂”、“即墨市动物卫生监督所”。评价组与养殖户核实具体情况，养殖户反馈</w:t>
      </w:r>
      <w:r>
        <w:rPr>
          <w:rFonts w:hint="eastAsia" w:ascii="仿宋_GB2312" w:hAnsi="仿宋_GB2312" w:eastAsia="仿宋_GB2312" w:cs="仿宋_GB2312"/>
          <w:color w:val="auto"/>
          <w:kern w:val="2"/>
          <w:sz w:val="32"/>
          <w:szCs w:val="32"/>
          <w:highlight w:val="none"/>
          <w:shd w:val="clear" w:color="auto" w:fill="auto"/>
          <w:lang w:val="en-US" w:eastAsia="zh-CN"/>
        </w:rPr>
        <w:t>实际为响应不及时</w:t>
      </w:r>
      <w:r>
        <w:rPr>
          <w:rFonts w:hint="eastAsia" w:ascii="仿宋_GB2312" w:hAnsi="仿宋_GB2312" w:eastAsia="仿宋_GB2312" w:cs="仿宋_GB2312"/>
          <w:color w:val="auto"/>
          <w:kern w:val="2"/>
          <w:sz w:val="32"/>
          <w:szCs w:val="32"/>
          <w:highlight w:val="none"/>
          <w:shd w:val="clear" w:color="auto" w:fill="auto"/>
          <w:lang w:val="en-US" w:eastAsia="zh"/>
        </w:rPr>
        <w:t>已自行处理。如：</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A.</w:t>
      </w:r>
      <w:r>
        <w:rPr>
          <w:rFonts w:hint="eastAsia" w:ascii="仿宋_GB2312" w:hAnsi="仿宋_GB2312" w:eastAsia="仿宋_GB2312" w:cs="仿宋_GB2312"/>
          <w:color w:val="auto"/>
          <w:kern w:val="2"/>
          <w:sz w:val="32"/>
          <w:szCs w:val="32"/>
          <w:highlight w:val="none"/>
          <w:shd w:val="clear" w:color="auto" w:fill="auto"/>
          <w:lang w:val="en-US" w:eastAsia="zh"/>
        </w:rPr>
        <w:t>胶州养殖户王本雷2025年7月8日申报的1头病死猪记录删除原因为“申报错误”，经评价组与养殖户核实了解的实际情况是，该养殖户申报后第2天无害化处理厂并没有来收集，当天病死动物味道严重，就自行处理埋到树林里；</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B.</w:t>
      </w:r>
      <w:r>
        <w:rPr>
          <w:rFonts w:hint="eastAsia" w:ascii="仿宋_GB2312" w:hAnsi="仿宋_GB2312" w:eastAsia="仿宋_GB2312" w:cs="仿宋_GB2312"/>
          <w:color w:val="auto"/>
          <w:kern w:val="2"/>
          <w:sz w:val="32"/>
          <w:szCs w:val="32"/>
          <w:highlight w:val="none"/>
          <w:shd w:val="clear" w:color="auto" w:fill="auto"/>
          <w:lang w:val="en-US" w:eastAsia="zh"/>
        </w:rPr>
        <w:t>莱西养殖户陈振喜2025年7月9日申报的1头病死猪记录删除原因为“重复申报”，经评价组与该养殖户核实了解的实际情况是，该养殖户申报后未及时接听到收集人电话取得联系，后考虑时间长会有味道，故自行掩埋处理；</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C.</w:t>
      </w:r>
      <w:r>
        <w:rPr>
          <w:rFonts w:hint="eastAsia" w:ascii="仿宋_GB2312" w:hAnsi="仿宋_GB2312" w:eastAsia="仿宋_GB2312" w:cs="仿宋_GB2312"/>
          <w:color w:val="auto"/>
          <w:kern w:val="2"/>
          <w:sz w:val="32"/>
          <w:szCs w:val="32"/>
          <w:highlight w:val="none"/>
          <w:shd w:val="clear" w:color="auto" w:fill="auto"/>
          <w:lang w:val="en-US" w:eastAsia="zh"/>
        </w:rPr>
        <w:t>即墨养殖户辛晓全2025年7月14日申报50只病死鸭记录删除原因为“无用信息”，经评价组与该养殖户核实情况，养殖户反馈2025年7月15日已被收集，但信息平台无此记录。后与即墨农业农村局核实反馈养殖户已自行处理，并提供《青岛市养殖户饲养日志》显示养殖户7月14日自行焚烧处理。</w:t>
      </w:r>
    </w:p>
    <w:p>
      <w:pPr>
        <w:pStyle w:val="30"/>
        <w:numPr>
          <w:ilvl w:val="0"/>
          <w:numId w:val="0"/>
        </w:numPr>
        <w:ind w:left="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②</w:t>
      </w:r>
      <w:r>
        <w:rPr>
          <w:rFonts w:hint="eastAsia" w:ascii="仿宋_GB2312" w:hAnsi="仿宋_GB2312" w:eastAsia="仿宋_GB2312" w:cs="仿宋_GB2312"/>
          <w:color w:val="auto"/>
          <w:kern w:val="2"/>
          <w:sz w:val="32"/>
          <w:szCs w:val="32"/>
          <w:highlight w:val="none"/>
          <w:shd w:val="clear" w:color="auto" w:fill="auto"/>
          <w:lang w:val="en-US" w:eastAsia="zh"/>
        </w:rPr>
        <w:t>评价组抽查12345投诉相关信息发现，胶州市洋河镇养殖户薛先生家养殖的猪全部病死，于2022年1月23日上报申报集中无害化处理，1月29日接到电话反馈2月7-8日前来处理。拖延至春节后（约15天后）安排收集。</w:t>
      </w:r>
    </w:p>
    <w:p>
      <w:pPr>
        <w:widowControl w:val="0"/>
        <w:spacing w:line="600" w:lineRule="exact"/>
        <w:ind w:firstLine="640" w:firstLineChars="200"/>
        <w:jc w:val="both"/>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③</w:t>
      </w:r>
      <w:r>
        <w:rPr>
          <w:rFonts w:hint="eastAsia" w:ascii="仿宋_GB2312" w:hAnsi="仿宋_GB2312" w:eastAsia="仿宋_GB2312" w:cs="仿宋_GB2312"/>
          <w:color w:val="auto"/>
          <w:kern w:val="2"/>
          <w:sz w:val="32"/>
          <w:szCs w:val="32"/>
          <w:highlight w:val="none"/>
          <w:shd w:val="clear" w:color="auto" w:fill="auto"/>
          <w:lang w:val="en-US" w:eastAsia="zh"/>
        </w:rPr>
        <w:t>此外我们通过满意度调查了解到，个别养殖户反映响应</w:t>
      </w:r>
      <w:r>
        <w:rPr>
          <w:rFonts w:hint="eastAsia" w:ascii="仿宋_GB2312" w:hAnsi="仿宋_GB2312" w:eastAsia="仿宋_GB2312" w:cs="仿宋_GB2312"/>
          <w:color w:val="auto"/>
          <w:kern w:val="2"/>
          <w:sz w:val="32"/>
          <w:szCs w:val="32"/>
          <w:highlight w:val="none"/>
          <w:shd w:val="clear" w:color="auto" w:fill="auto"/>
          <w:lang w:val="en-US" w:eastAsia="zh-CN"/>
        </w:rPr>
        <w:t>无害化处理需求</w:t>
      </w:r>
      <w:r>
        <w:rPr>
          <w:rFonts w:hint="eastAsia" w:ascii="仿宋_GB2312" w:hAnsi="仿宋_GB2312" w:eastAsia="仿宋_GB2312" w:cs="仿宋_GB2312"/>
          <w:color w:val="auto"/>
          <w:kern w:val="2"/>
          <w:sz w:val="32"/>
          <w:szCs w:val="32"/>
          <w:highlight w:val="none"/>
          <w:shd w:val="clear" w:color="auto" w:fill="auto"/>
          <w:lang w:val="en-US" w:eastAsia="zh"/>
        </w:rPr>
        <w:t>时间较长，1.56%养殖户希望无害化处理能更及时，特别是在夏天，以避免腐烂。虽然部分养殖户有冰柜可以暂时存储病死畜禽，但这并不是普遍情况，且冰柜容量有限。部分无害化处理公司反映，出于成本因素考虑，不会为了零星几只病死畜禽出车收集，而是选择积攒一定数量后再进行收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（3）病死畜禽传播重大动物疫病</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该指标满分为5分,根据评分标准得5分。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未发现存在病死畜禽传播重大动物疫病的情况，得满分。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（4）政策可持续性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该指标满分为5分,根据评分标准得5分。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政策的持续性有保障，具有稳定的财政支持和与当前宏观政策环境的良好适应性，预期能够实现长期的稳定运行，得满分。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（5）补助政策知晓率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该指标满分为5分,根据评分标准得4.82分。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评价组通过对全市各区（市）养殖户政策知晓情况问卷调研，统计结果显示，养殖户通过农业农村局通知、无害化处理企业宣传、其他养殖户告知等途径的知晓率为89.28%，根据评分标准，扣0.18分。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（6）养殖场（户）和无害化处理企业满意度</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该指标满分为10分,根据评分标准得8.46分。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为调查养殖场（户）和无害化处理企业实施效果的满意程度，评价组于2025年7月25日通过市里，面向各区（市）发放养殖场（户）线上调查问卷，2025年7月28日共回收调查问卷2249份，有效问卷2249份（经了解，截至问卷回收日，全市规模以上养殖场数量2647户，全市畜禽养殖规模比重</w:t>
      </w:r>
      <w:r>
        <w:rPr>
          <w:rFonts w:hint="eastAsia" w:ascii="仿宋_GB2312" w:hAnsi="仿宋_GB2312" w:eastAsia="仿宋_GB2312" w:cs="仿宋_GB2312"/>
          <w:kern w:val="2"/>
          <w:sz w:val="32"/>
          <w:szCs w:val="40"/>
          <w:highlight w:val="none"/>
          <w:lang w:val="en-US" w:eastAsia="zh-CN"/>
        </w:rPr>
        <w:t>为</w:t>
      </w:r>
      <w:r>
        <w:rPr>
          <w:rFonts w:hint="eastAsia" w:ascii="仿宋_GB2312" w:hAnsi="仿宋_GB2312" w:eastAsia="仿宋_GB2312" w:cs="仿宋_GB2312"/>
          <w:kern w:val="2"/>
          <w:sz w:val="32"/>
          <w:szCs w:val="40"/>
          <w:highlight w:val="none"/>
          <w:lang w:val="en-US" w:eastAsia="zh"/>
        </w:rPr>
        <w:t>89%）。通过问卷调查显示，养殖场（户）满意度为83.84%，扣1.54分。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评价组于2025年7月25日通过市里，面向各区（市）发放无害化处理企业线上调查问卷，2025年7月28日共回收调查问卷10份，剔除</w:t>
      </w:r>
      <w:r>
        <w:rPr>
          <w:rFonts w:hint="eastAsia" w:ascii="仿宋_GB2312" w:hAnsi="仿宋_GB2312" w:eastAsia="仿宋_GB2312" w:cs="仿宋_GB2312"/>
          <w:kern w:val="2"/>
          <w:sz w:val="32"/>
          <w:szCs w:val="40"/>
          <w:highlight w:val="none"/>
          <w:lang w:val="en-US" w:eastAsia="zh-CN"/>
        </w:rPr>
        <w:t>4</w:t>
      </w:r>
      <w:r>
        <w:rPr>
          <w:rFonts w:hint="eastAsia" w:ascii="仿宋_GB2312" w:hAnsi="仿宋_GB2312" w:eastAsia="仿宋_GB2312" w:cs="仿宋_GB2312"/>
          <w:kern w:val="2"/>
          <w:sz w:val="32"/>
          <w:szCs w:val="40"/>
          <w:highlight w:val="none"/>
          <w:lang w:val="en-US" w:eastAsia="zh"/>
        </w:rPr>
        <w:t>份无效问卷（</w:t>
      </w:r>
      <w:r>
        <w:rPr>
          <w:rFonts w:hint="eastAsia" w:ascii="仿宋_GB2312" w:hAnsi="仿宋_GB2312" w:eastAsia="仿宋_GB2312" w:cs="仿宋_GB2312"/>
          <w:kern w:val="2"/>
          <w:sz w:val="32"/>
          <w:szCs w:val="40"/>
          <w:highlight w:val="none"/>
          <w:lang w:val="en-US" w:eastAsia="zh-CN"/>
        </w:rPr>
        <w:t>4</w:t>
      </w:r>
      <w:r>
        <w:rPr>
          <w:rFonts w:hint="eastAsia" w:ascii="仿宋_GB2312" w:hAnsi="仿宋_GB2312" w:eastAsia="仿宋_GB2312" w:cs="仿宋_GB2312"/>
          <w:kern w:val="2"/>
          <w:sz w:val="32"/>
          <w:szCs w:val="40"/>
          <w:highlight w:val="none"/>
          <w:lang w:val="en-US" w:eastAsia="zh"/>
        </w:rPr>
        <w:t>份屠宰厂填到无害化处理厂问卷中），有效问卷</w:t>
      </w:r>
      <w:r>
        <w:rPr>
          <w:rFonts w:hint="eastAsia" w:ascii="仿宋_GB2312" w:hAnsi="仿宋_GB2312" w:eastAsia="仿宋_GB2312" w:cs="仿宋_GB2312"/>
          <w:kern w:val="2"/>
          <w:sz w:val="32"/>
          <w:szCs w:val="40"/>
          <w:highlight w:val="none"/>
          <w:lang w:val="en-US" w:eastAsia="zh-CN"/>
        </w:rPr>
        <w:t>6</w:t>
      </w:r>
      <w:r>
        <w:rPr>
          <w:rFonts w:hint="eastAsia" w:ascii="仿宋_GB2312" w:hAnsi="仿宋_GB2312" w:eastAsia="仿宋_GB2312" w:cs="仿宋_GB2312"/>
          <w:kern w:val="2"/>
          <w:sz w:val="32"/>
          <w:szCs w:val="40"/>
          <w:highlight w:val="none"/>
          <w:lang w:val="en-US" w:eastAsia="zh"/>
        </w:rPr>
        <w:t>份。通过问卷调查显示，无害化处理企业满意度为100%。</w:t>
      </w:r>
    </w:p>
    <w:p>
      <w:pPr>
        <w:widowControl w:val="0"/>
        <w:numPr>
          <w:ilvl w:val="0"/>
          <w:numId w:val="1"/>
        </w:numPr>
        <w:spacing w:line="600" w:lineRule="exact"/>
        <w:ind w:left="0" w:leftChars="0" w:firstLine="640" w:firstLineChars="200"/>
        <w:jc w:val="both"/>
        <w:outlineLvl w:val="0"/>
        <w:rPr>
          <w:rFonts w:hint="eastAsia" w:ascii="黑体" w:hAnsi="黑体" w:eastAsia="黑体" w:cstheme="minorBidi"/>
          <w:color w:val="auto"/>
          <w:kern w:val="2"/>
          <w:sz w:val="32"/>
          <w:szCs w:val="32"/>
          <w:highlight w:val="none"/>
          <w:shd w:val="clear" w:color="auto" w:fill="auto"/>
          <w:lang w:val="en-US" w:eastAsia="zh"/>
        </w:rPr>
      </w:pPr>
      <w:r>
        <w:rPr>
          <w:rFonts w:hint="eastAsia" w:ascii="黑体" w:hAnsi="黑体" w:eastAsia="黑体" w:cstheme="minorBidi"/>
          <w:color w:val="auto"/>
          <w:kern w:val="2"/>
          <w:sz w:val="32"/>
          <w:szCs w:val="32"/>
          <w:highlight w:val="none"/>
          <w:shd w:val="clear" w:color="auto" w:fill="auto"/>
          <w:lang w:val="en-US" w:eastAsia="zh"/>
        </w:rPr>
        <w:t>政策实施成效</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青岛市着力推进病死畜禽无害化处理监管长效机制建设，多措并举推动病死畜禽无害化处理全流程闭环监管，实现了病死畜禽无害化处理、线上线下一体化监管、各类畜禽无害化处理补贴三个全覆盖，2021-2024年全市共无害化处理约12.65万吨养殖环节病死畜禽，努力确保实现病死畜禽不宰杀、不贩运、不买卖、不丢弃、不食用和全部进行无害化处理的“五不一处理”目标。全市未发生区域性重大动物疫病，有力保障了动物卫生安全和畜牧业稳产保供；严防病死畜禽流入市场、流向餐桌，有力保障了畜产品质量（食品）安全；未发生大规模随意丢弃病死畜禽事件，有力维护了公共卫生安全和生态环境安全。</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黑体" w:hAnsi="黑体" w:eastAsia="黑体" w:cstheme="minorBidi"/>
          <w:color w:val="auto"/>
          <w:kern w:val="2"/>
          <w:sz w:val="32"/>
          <w:szCs w:val="32"/>
          <w:highlight w:val="none"/>
          <w:shd w:val="clear" w:color="auto" w:fill="auto"/>
          <w:lang w:val="en-US" w:eastAsia="zh"/>
        </w:rPr>
        <w:t>五、发现的问题及原因分析</w:t>
      </w:r>
      <w:r>
        <w:rPr>
          <w:rFonts w:hint="eastAsia" w:ascii="黑体" w:hAnsi="黑体" w:eastAsia="黑体" w:cstheme="minorBidi"/>
          <w:color w:val="auto"/>
          <w:kern w:val="2"/>
          <w:sz w:val="32"/>
          <w:szCs w:val="32"/>
          <w:highlight w:val="none"/>
          <w:shd w:val="clear" w:color="auto" w:fill="auto"/>
          <w:lang w:val="en-US" w:eastAsia="zh-CN"/>
        </w:rPr>
        <w:t xml:space="preserve"> </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
        </w:rPr>
      </w:pPr>
      <w:r>
        <w:rPr>
          <w:rFonts w:hint="eastAsia" w:ascii="楷体_GB2312" w:hAnsi="楷体_GB2312" w:eastAsia="楷体_GB2312" w:cs="楷体_GB2312"/>
          <w:kern w:val="2"/>
          <w:sz w:val="32"/>
          <w:szCs w:val="40"/>
          <w:highlight w:val="none"/>
          <w:lang w:val="en-US" w:eastAsia="zh"/>
        </w:rPr>
        <w:t>（一）存在病死禽畜收集不及时的现象。</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1）评价组使用市农业农村局权限的账号登畜牧业安全监管信息平台，抽查养殖环节无害化处理模块的红色记录信息情况，发现3条提交申请被删除。该记录显示被删除原因分别是“申报错误”、“重复申报”与“无用信息”。平台显示“删除人”为“防疫科”、“无害化处理厂”、“即墨市动物卫生监督所”。评价组与养殖户核实具体情况，养殖户反馈</w:t>
      </w:r>
      <w:r>
        <w:rPr>
          <w:rFonts w:hint="eastAsia" w:ascii="仿宋_GB2312" w:hAnsi="仿宋_GB2312" w:eastAsia="仿宋_GB2312" w:cs="仿宋_GB2312"/>
          <w:color w:val="auto"/>
          <w:kern w:val="2"/>
          <w:sz w:val="32"/>
          <w:szCs w:val="32"/>
          <w:highlight w:val="none"/>
          <w:shd w:val="clear" w:color="auto" w:fill="auto"/>
          <w:lang w:val="en-US" w:eastAsia="zh-CN"/>
        </w:rPr>
        <w:t>实际为响应不及时</w:t>
      </w:r>
      <w:r>
        <w:rPr>
          <w:rFonts w:hint="eastAsia" w:ascii="仿宋_GB2312" w:hAnsi="仿宋_GB2312" w:eastAsia="仿宋_GB2312" w:cs="仿宋_GB2312"/>
          <w:color w:val="auto"/>
          <w:kern w:val="2"/>
          <w:sz w:val="32"/>
          <w:szCs w:val="32"/>
          <w:highlight w:val="none"/>
          <w:shd w:val="clear" w:color="auto" w:fill="auto"/>
          <w:lang w:val="en-US" w:eastAsia="zh"/>
        </w:rPr>
        <w:t>已自行处理。如：</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①胶州养殖户王本雷2025年7月8日申报的1头病死猪记录删除原因为“申报错误”，经评价组与养殖户核实了解的实际情况是，该养殖户申报后第2天无害化处理厂并没有来收集，当天病死动物味道严重，就自行处理埋到树林里；</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②莱西养殖户陈振喜2025年7月9日申报的1头病死猪记录删除原因为“重复申报”，经评价组与该养殖户核实了解的实际情况是，该养殖户申报后未及时接听到收集人电话取得联系，后考虑时间长会有味道，故自行掩埋处理；</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③即墨养殖户辛晓全2025年7月14日申报50只病死鸭记录删除原因为“无用信息”，经评价组与该养殖户核实情况，养殖户反馈2025年7月15日已被收集，但信息平台无此记录。后与即墨农业农村局核实反馈养殖户已自行处理，并提供《青岛市养殖户饲养日志》显示养殖户7月14日自行焚烧处理。</w:t>
      </w:r>
    </w:p>
    <w:p>
      <w:pPr>
        <w:pStyle w:val="30"/>
        <w:numPr>
          <w:ilvl w:val="0"/>
          <w:numId w:val="0"/>
        </w:numPr>
        <w:ind w:left="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（2）评价组抽查12345投诉相关信息发现，胶州市洋河镇养殖户薛先生家养殖的猪全部病死，于2022年1月23日上报申报集中无害化处理，1月29日接到电话反馈2月7-8日前来处理。拖延至春节后（约15天后）安排收集。</w:t>
      </w:r>
    </w:p>
    <w:p>
      <w:pPr>
        <w:pStyle w:val="30"/>
        <w:numPr>
          <w:ilvl w:val="0"/>
          <w:numId w:val="0"/>
        </w:numPr>
        <w:ind w:left="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（3）此外我们通过满意度调查了解到，个别养殖户反映响应</w:t>
      </w:r>
      <w:r>
        <w:rPr>
          <w:rFonts w:hint="eastAsia" w:ascii="仿宋_GB2312" w:hAnsi="仿宋_GB2312" w:eastAsia="仿宋_GB2312" w:cs="仿宋_GB2312"/>
          <w:color w:val="auto"/>
          <w:kern w:val="2"/>
          <w:sz w:val="32"/>
          <w:szCs w:val="32"/>
          <w:highlight w:val="none"/>
          <w:shd w:val="clear" w:color="auto" w:fill="auto"/>
          <w:lang w:val="en-US" w:eastAsia="zh-CN"/>
        </w:rPr>
        <w:t>无害化处理需求</w:t>
      </w:r>
      <w:r>
        <w:rPr>
          <w:rFonts w:hint="eastAsia" w:ascii="仿宋_GB2312" w:hAnsi="仿宋_GB2312" w:eastAsia="仿宋_GB2312" w:cs="仿宋_GB2312"/>
          <w:color w:val="auto"/>
          <w:kern w:val="2"/>
          <w:sz w:val="32"/>
          <w:szCs w:val="32"/>
          <w:highlight w:val="none"/>
          <w:shd w:val="clear" w:color="auto" w:fill="auto"/>
          <w:lang w:val="en-US" w:eastAsia="zh"/>
        </w:rPr>
        <w:t>时间较长，1.56%养殖户希望无害化处理能更及时，特别是在夏天，以避免腐烂。虽然部分养殖户有冰柜可以暂时存储病死畜禽，但这并不是普遍情况，且冰柜容量有限。部分无害化处理公司反映，出于成本因素考虑，不会为了零星几只病死畜禽出车收集，而是选择积攒一定数量后再进行收集。</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
        </w:rPr>
      </w:pPr>
      <w:r>
        <w:rPr>
          <w:rFonts w:hint="eastAsia" w:ascii="楷体_GB2312" w:hAnsi="楷体_GB2312" w:eastAsia="楷体_GB2312" w:cs="楷体_GB2312"/>
          <w:kern w:val="2"/>
          <w:sz w:val="32"/>
          <w:szCs w:val="40"/>
          <w:highlight w:val="none"/>
          <w:lang w:val="en-US" w:eastAsia="zh"/>
        </w:rPr>
        <w:t>（二）个别养羊养殖户存在符合补助政策但未享受补助的情况。</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评价组抽查畜牧业安全监管信息平台的无害化处理记录发现，莱西市养殖户徐文学于2025年6月30日提交一只病死羊的无害化处理申报记录显示删除原因是“重复申报”，删除人是“莱西无害化处理厂”。评价组与养殖户徐文学核实情况反馈，这只病死羊已被无害化处理厂拉走处理，但收集人未对徐文学填报《病死畜禽无害化处理收集登记表》，收集人向养殖户说明的原因是“该羊体型较小”。该补助政策明确“（二）病死牛羊无害化处理补助标准。……病死羊补助26元/只，其中养殖、收集、无害化处理环节补助比例……。”该政策明确病死羊补助以只数为单位，而非体积。徐文学养殖户申报该只病死羊符合补助条件，但收集人员未进行收集登记、且无害化处理厂删除养殖户申报信息，徐文学养殖户未享受到这只病死羊无害化处理补助。</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CN"/>
        </w:rPr>
        <w:t>（三）信息平台上传不规范。</w:t>
      </w:r>
    </w:p>
    <w:p>
      <w:pPr>
        <w:pStyle w:val="30"/>
        <w:numPr>
          <w:ilvl w:val="0"/>
          <w:numId w:val="0"/>
        </w:numPr>
        <w:ind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评价组对畜牧业安全监管信息平台抽查发现，莱西市青岛九联集团肉鸡第六十二养殖场于2025年7月11日申报病死鸡一批共456只，所上传的死亡畜禽信息图片共5张，均没有显示这一批病死鸡的实体实物，无法辨认死亡畜禽实际情况，仅能看到袋子外观。平度市郝效波于2025年7月2日申报肉鸡共18只，所上传的死亡畜禽信息图片共7张，均没有显示这一批病死鸡的实体实物，无法辨认死亡畜禽实际情况，仅能看到袋子外观。</w:t>
      </w:r>
    </w:p>
    <w:p>
      <w:pPr>
        <w:widowControl w:val="0"/>
        <w:spacing w:line="600" w:lineRule="exact"/>
        <w:ind w:firstLine="640" w:firstLineChars="200"/>
        <w:jc w:val="both"/>
        <w:outlineLvl w:val="0"/>
        <w:rPr>
          <w:rFonts w:hint="eastAsia" w:ascii="黑体" w:hAnsi="黑体" w:eastAsia="黑体" w:cstheme="minorBidi"/>
          <w:color w:val="auto"/>
          <w:kern w:val="2"/>
          <w:sz w:val="32"/>
          <w:szCs w:val="32"/>
          <w:highlight w:val="none"/>
          <w:shd w:val="clear" w:color="auto" w:fill="auto"/>
          <w:lang w:val="en-US" w:eastAsia="zh-CN"/>
        </w:rPr>
      </w:pPr>
      <w:r>
        <w:rPr>
          <w:rFonts w:hint="eastAsia" w:ascii="黑体" w:hAnsi="黑体" w:eastAsia="黑体" w:cstheme="minorBidi"/>
          <w:color w:val="auto"/>
          <w:kern w:val="2"/>
          <w:sz w:val="32"/>
          <w:szCs w:val="32"/>
          <w:highlight w:val="none"/>
          <w:shd w:val="clear" w:color="auto" w:fill="auto"/>
          <w:lang w:val="en-US" w:eastAsia="zh"/>
        </w:rPr>
        <w:t>六</w:t>
      </w:r>
      <w:r>
        <w:rPr>
          <w:rFonts w:hint="eastAsia" w:ascii="黑体" w:hAnsi="黑体" w:eastAsia="黑体" w:cstheme="minorBidi"/>
          <w:color w:val="auto"/>
          <w:kern w:val="2"/>
          <w:sz w:val="32"/>
          <w:szCs w:val="32"/>
          <w:highlight w:val="none"/>
          <w:shd w:val="clear" w:color="auto" w:fill="auto"/>
          <w:lang w:val="en-US" w:eastAsia="zh-CN"/>
        </w:rPr>
        <w:t>、</w:t>
      </w:r>
      <w:r>
        <w:rPr>
          <w:rFonts w:hint="eastAsia" w:ascii="黑体" w:hAnsi="黑体" w:eastAsia="黑体" w:cstheme="minorBidi"/>
          <w:color w:val="auto"/>
          <w:kern w:val="2"/>
          <w:sz w:val="32"/>
          <w:szCs w:val="32"/>
          <w:highlight w:val="none"/>
          <w:shd w:val="clear" w:color="auto" w:fill="auto"/>
          <w:lang w:val="en-US" w:eastAsia="zh"/>
        </w:rPr>
        <w:t>相关</w:t>
      </w:r>
      <w:r>
        <w:rPr>
          <w:rFonts w:hint="eastAsia" w:ascii="黑体" w:hAnsi="黑体" w:eastAsia="黑体" w:cstheme="minorBidi"/>
          <w:color w:val="auto"/>
          <w:kern w:val="2"/>
          <w:sz w:val="32"/>
          <w:szCs w:val="32"/>
          <w:highlight w:val="none"/>
          <w:shd w:val="clear" w:color="auto" w:fill="auto"/>
          <w:lang w:val="en-US" w:eastAsia="zh-CN"/>
        </w:rPr>
        <w:t xml:space="preserve">建议 </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楷体_GB2312" w:hAnsi="楷体_GB2312" w:eastAsia="楷体_GB2312" w:cs="楷体_GB2312"/>
          <w:kern w:val="2"/>
          <w:sz w:val="32"/>
          <w:szCs w:val="40"/>
          <w:highlight w:val="none"/>
          <w:lang w:val="en-US" w:eastAsia="zh" w:bidi="ar-SA"/>
        </w:rPr>
        <w:t>（一）细化无害化处理厂收集及时性的相关要求</w:t>
      </w:r>
      <w:r>
        <w:rPr>
          <w:rFonts w:hint="eastAsia" w:ascii="楷体_GB2312" w:hAnsi="楷体_GB2312" w:eastAsia="楷体_GB2312" w:cs="楷体_GB2312"/>
          <w:color w:val="auto"/>
          <w:kern w:val="2"/>
          <w:sz w:val="32"/>
          <w:szCs w:val="32"/>
          <w:highlight w:val="none"/>
          <w:shd w:val="clear" w:color="auto" w:fill="auto"/>
          <w:lang w:val="en-US" w:eastAsia="zh-CN"/>
        </w:rPr>
        <w:t>。</w:t>
      </w:r>
      <w:r>
        <w:rPr>
          <w:rFonts w:hint="eastAsia" w:ascii="仿宋_GB2312" w:hAnsi="仿宋_GB2312" w:eastAsia="仿宋_GB2312" w:cs="仿宋_GB2312"/>
          <w:color w:val="auto"/>
          <w:kern w:val="2"/>
          <w:sz w:val="32"/>
          <w:szCs w:val="32"/>
          <w:highlight w:val="none"/>
          <w:shd w:val="clear" w:color="auto" w:fill="auto"/>
          <w:lang w:val="en-US" w:eastAsia="zh-CN"/>
        </w:rPr>
        <w:t>明确具体时限要求，如可</w:t>
      </w:r>
      <w:r>
        <w:rPr>
          <w:rFonts w:hint="eastAsia" w:ascii="仿宋_GB2312" w:hAnsi="仿宋_GB2312" w:eastAsia="仿宋_GB2312" w:cs="仿宋_GB2312"/>
          <w:color w:val="auto"/>
          <w:kern w:val="2"/>
          <w:sz w:val="32"/>
          <w:szCs w:val="32"/>
          <w:highlight w:val="none"/>
          <w:shd w:val="clear" w:color="auto" w:fill="auto"/>
          <w:lang w:val="en-US" w:eastAsia="zh"/>
        </w:rPr>
        <w:t>要求在接到养殖户申报后的24小时内响应，72小时内完成收集。对于未能按时完成收集任务的公司，</w:t>
      </w:r>
      <w:r>
        <w:rPr>
          <w:rFonts w:hint="eastAsia" w:ascii="仿宋_GB2312" w:hAnsi="仿宋_GB2312" w:eastAsia="仿宋_GB2312" w:cs="仿宋_GB2312"/>
          <w:color w:val="auto"/>
          <w:kern w:val="2"/>
          <w:sz w:val="32"/>
          <w:szCs w:val="32"/>
          <w:highlight w:val="none"/>
          <w:shd w:val="clear" w:color="auto" w:fill="auto"/>
          <w:lang w:val="en-US" w:eastAsia="zh-CN"/>
        </w:rPr>
        <w:t>给予一定的</w:t>
      </w:r>
      <w:r>
        <w:rPr>
          <w:rFonts w:hint="eastAsia" w:ascii="仿宋_GB2312" w:hAnsi="仿宋_GB2312" w:eastAsia="仿宋_GB2312" w:cs="仿宋_GB2312"/>
          <w:color w:val="auto"/>
          <w:kern w:val="2"/>
          <w:sz w:val="32"/>
          <w:szCs w:val="32"/>
          <w:highlight w:val="none"/>
          <w:shd w:val="clear" w:color="auto" w:fill="auto"/>
          <w:lang w:val="en-US" w:eastAsia="zh"/>
        </w:rPr>
        <w:t>惩罚措施，以确保服务的及时性。针对特殊情况（如疫情爆发、自然灾害等），建立应急响应机制，确保在紧急情况下能够迅速响应养殖户的需求。</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楷体_GB2312" w:hAnsi="楷体_GB2312" w:eastAsia="楷体_GB2312" w:cs="楷体_GB2312"/>
          <w:kern w:val="2"/>
          <w:sz w:val="32"/>
          <w:szCs w:val="40"/>
          <w:highlight w:val="none"/>
          <w:lang w:val="en-US" w:eastAsia="zh" w:bidi="ar-SA"/>
        </w:rPr>
        <w:t>（二）制定详细的删除规则和标准</w:t>
      </w:r>
      <w:r>
        <w:rPr>
          <w:rFonts w:hint="eastAsia" w:ascii="楷体_GB2312" w:hAnsi="楷体_GB2312" w:eastAsia="楷体_GB2312" w:cs="楷体_GB2312"/>
          <w:color w:val="auto"/>
          <w:kern w:val="2"/>
          <w:sz w:val="32"/>
          <w:szCs w:val="32"/>
          <w:highlight w:val="none"/>
          <w:shd w:val="clear" w:color="auto" w:fill="auto"/>
          <w:lang w:val="en-US" w:eastAsia="zh-CN"/>
        </w:rPr>
        <w:t>。</w:t>
      </w:r>
      <w:r>
        <w:rPr>
          <w:rFonts w:hint="eastAsia" w:ascii="仿宋_GB2312" w:hAnsi="仿宋_GB2312" w:eastAsia="仿宋_GB2312" w:cs="仿宋_GB2312"/>
          <w:b/>
          <w:bCs/>
          <w:color w:val="auto"/>
          <w:kern w:val="2"/>
          <w:sz w:val="32"/>
          <w:szCs w:val="32"/>
          <w:highlight w:val="none"/>
          <w:shd w:val="clear" w:color="auto" w:fill="auto"/>
          <w:lang w:val="en-US" w:eastAsia="zh-CN"/>
        </w:rPr>
        <w:t>一是</w:t>
      </w:r>
      <w:r>
        <w:rPr>
          <w:rFonts w:hint="eastAsia" w:ascii="仿宋_GB2312" w:hAnsi="仿宋_GB2312" w:eastAsia="仿宋_GB2312" w:cs="仿宋_GB2312"/>
          <w:color w:val="auto"/>
          <w:kern w:val="2"/>
          <w:sz w:val="32"/>
          <w:szCs w:val="32"/>
          <w:highlight w:val="none"/>
          <w:shd w:val="clear" w:color="auto" w:fill="auto"/>
          <w:lang w:val="en-US" w:eastAsia="zh"/>
        </w:rPr>
        <w:t>明确哪些情况下可以删除记录，并规定具体的删除原因描述。</w:t>
      </w:r>
      <w:r>
        <w:rPr>
          <w:rFonts w:hint="eastAsia" w:ascii="仿宋_GB2312" w:hAnsi="仿宋_GB2312" w:eastAsia="仿宋_GB2312" w:cs="仿宋_GB2312"/>
          <w:color w:val="auto"/>
          <w:kern w:val="2"/>
          <w:sz w:val="32"/>
          <w:szCs w:val="32"/>
          <w:highlight w:val="none"/>
          <w:shd w:val="clear" w:color="auto" w:fill="auto"/>
          <w:lang w:val="en-US" w:eastAsia="zh-CN"/>
        </w:rPr>
        <w:t>其中，</w:t>
      </w:r>
      <w:r>
        <w:rPr>
          <w:rFonts w:hint="eastAsia" w:ascii="仿宋_GB2312" w:hAnsi="仿宋_GB2312" w:eastAsia="仿宋_GB2312" w:cs="仿宋_GB2312"/>
          <w:color w:val="auto"/>
          <w:kern w:val="2"/>
          <w:sz w:val="32"/>
          <w:szCs w:val="32"/>
          <w:highlight w:val="none"/>
          <w:shd w:val="clear" w:color="auto" w:fill="auto"/>
          <w:lang w:val="en-US" w:eastAsia="zh"/>
        </w:rPr>
        <w:t>重复申报</w:t>
      </w:r>
      <w:r>
        <w:rPr>
          <w:rFonts w:hint="eastAsia" w:ascii="仿宋_GB2312" w:hAnsi="仿宋_GB2312" w:eastAsia="仿宋_GB2312" w:cs="仿宋_GB2312"/>
          <w:color w:val="auto"/>
          <w:kern w:val="2"/>
          <w:sz w:val="32"/>
          <w:szCs w:val="32"/>
          <w:highlight w:val="none"/>
          <w:shd w:val="clear" w:color="auto" w:fill="auto"/>
          <w:lang w:val="en-US" w:eastAsia="zh-CN"/>
        </w:rPr>
        <w:t>应</w:t>
      </w:r>
      <w:r>
        <w:rPr>
          <w:rFonts w:hint="eastAsia" w:ascii="仿宋_GB2312" w:hAnsi="仿宋_GB2312" w:eastAsia="仿宋_GB2312" w:cs="仿宋_GB2312"/>
          <w:color w:val="auto"/>
          <w:kern w:val="2"/>
          <w:sz w:val="32"/>
          <w:szCs w:val="32"/>
          <w:highlight w:val="none"/>
          <w:shd w:val="clear" w:color="auto" w:fill="auto"/>
          <w:lang w:val="en-US" w:eastAsia="zh"/>
        </w:rPr>
        <w:t>明确重复申报的定义和判断标准</w:t>
      </w:r>
      <w:r>
        <w:rPr>
          <w:rFonts w:hint="eastAsia" w:ascii="仿宋_GB2312" w:hAnsi="仿宋_GB2312" w:eastAsia="仿宋_GB2312" w:cs="仿宋_GB2312"/>
          <w:color w:val="auto"/>
          <w:kern w:val="2"/>
          <w:sz w:val="32"/>
          <w:szCs w:val="32"/>
          <w:highlight w:val="none"/>
          <w:shd w:val="clear" w:color="auto" w:fill="auto"/>
          <w:lang w:val="en-US" w:eastAsia="zh-CN"/>
        </w:rPr>
        <w:t>；</w:t>
      </w:r>
      <w:r>
        <w:rPr>
          <w:rFonts w:hint="eastAsia" w:ascii="仿宋_GB2312" w:hAnsi="仿宋_GB2312" w:eastAsia="仿宋_GB2312" w:cs="仿宋_GB2312"/>
          <w:color w:val="auto"/>
          <w:kern w:val="2"/>
          <w:sz w:val="32"/>
          <w:szCs w:val="32"/>
          <w:highlight w:val="none"/>
          <w:shd w:val="clear" w:color="auto" w:fill="auto"/>
          <w:lang w:val="en-US" w:eastAsia="zh"/>
        </w:rPr>
        <w:t>错误上传</w:t>
      </w:r>
      <w:r>
        <w:rPr>
          <w:rFonts w:hint="eastAsia" w:ascii="仿宋_GB2312" w:hAnsi="仿宋_GB2312" w:eastAsia="仿宋_GB2312" w:cs="仿宋_GB2312"/>
          <w:color w:val="auto"/>
          <w:kern w:val="2"/>
          <w:sz w:val="32"/>
          <w:szCs w:val="32"/>
          <w:highlight w:val="none"/>
          <w:shd w:val="clear" w:color="auto" w:fill="auto"/>
          <w:lang w:val="en-US" w:eastAsia="zh-CN"/>
        </w:rPr>
        <w:t>应</w:t>
      </w:r>
      <w:r>
        <w:rPr>
          <w:rFonts w:hint="eastAsia" w:ascii="仿宋_GB2312" w:hAnsi="仿宋_GB2312" w:eastAsia="仿宋_GB2312" w:cs="仿宋_GB2312"/>
          <w:color w:val="auto"/>
          <w:kern w:val="2"/>
          <w:sz w:val="32"/>
          <w:szCs w:val="32"/>
          <w:highlight w:val="none"/>
          <w:shd w:val="clear" w:color="auto" w:fill="auto"/>
          <w:lang w:val="en-US" w:eastAsia="zh"/>
        </w:rPr>
        <w:t>具体说明哪些情况属于错误上传。自行处理</w:t>
      </w:r>
      <w:r>
        <w:rPr>
          <w:rFonts w:hint="eastAsia" w:ascii="仿宋_GB2312" w:hAnsi="仿宋_GB2312" w:eastAsia="仿宋_GB2312" w:cs="仿宋_GB2312"/>
          <w:color w:val="auto"/>
          <w:kern w:val="2"/>
          <w:sz w:val="32"/>
          <w:szCs w:val="32"/>
          <w:highlight w:val="none"/>
          <w:shd w:val="clear" w:color="auto" w:fill="auto"/>
          <w:lang w:val="en-US" w:eastAsia="zh-CN"/>
        </w:rPr>
        <w:t>应</w:t>
      </w:r>
      <w:r>
        <w:rPr>
          <w:rFonts w:hint="eastAsia" w:ascii="仿宋_GB2312" w:hAnsi="仿宋_GB2312" w:eastAsia="仿宋_GB2312" w:cs="仿宋_GB2312"/>
          <w:color w:val="auto"/>
          <w:kern w:val="2"/>
          <w:sz w:val="32"/>
          <w:szCs w:val="32"/>
          <w:highlight w:val="none"/>
          <w:shd w:val="clear" w:color="auto" w:fill="auto"/>
          <w:lang w:val="en-US" w:eastAsia="zh"/>
        </w:rPr>
        <w:t>明确养殖户自行处理的情况，要求如实填写原因</w:t>
      </w:r>
      <w:r>
        <w:rPr>
          <w:rFonts w:hint="eastAsia" w:ascii="仿宋_GB2312" w:hAnsi="仿宋_GB2312" w:eastAsia="仿宋_GB2312" w:cs="仿宋_GB2312"/>
          <w:color w:val="auto"/>
          <w:kern w:val="2"/>
          <w:sz w:val="32"/>
          <w:szCs w:val="32"/>
          <w:highlight w:val="none"/>
          <w:shd w:val="clear" w:color="auto" w:fill="auto"/>
          <w:lang w:val="en-US" w:eastAsia="zh-CN"/>
        </w:rPr>
        <w:t>；</w:t>
      </w:r>
      <w:r>
        <w:rPr>
          <w:rFonts w:hint="eastAsia" w:ascii="仿宋_GB2312" w:hAnsi="仿宋_GB2312" w:eastAsia="仿宋_GB2312" w:cs="仿宋_GB2312"/>
          <w:color w:val="auto"/>
          <w:kern w:val="2"/>
          <w:sz w:val="32"/>
          <w:szCs w:val="32"/>
          <w:highlight w:val="none"/>
          <w:shd w:val="clear" w:color="auto" w:fill="auto"/>
          <w:lang w:val="en-US" w:eastAsia="zh"/>
        </w:rPr>
        <w:t>对于特殊情况，需要详细说明并附上相关证明材料。</w:t>
      </w:r>
      <w:r>
        <w:rPr>
          <w:rFonts w:hint="eastAsia" w:ascii="仿宋_GB2312" w:hAnsi="仿宋_GB2312" w:eastAsia="仿宋_GB2312" w:cs="仿宋_GB2312"/>
          <w:b/>
          <w:bCs/>
          <w:color w:val="auto"/>
          <w:kern w:val="2"/>
          <w:sz w:val="32"/>
          <w:szCs w:val="32"/>
          <w:highlight w:val="none"/>
          <w:shd w:val="clear" w:color="auto" w:fill="auto"/>
          <w:lang w:val="en-US" w:eastAsia="zh-CN"/>
        </w:rPr>
        <w:t>二是</w:t>
      </w:r>
      <w:r>
        <w:rPr>
          <w:rFonts w:hint="eastAsia" w:ascii="仿宋_GB2312" w:hAnsi="仿宋_GB2312" w:eastAsia="仿宋_GB2312" w:cs="仿宋_GB2312"/>
          <w:color w:val="auto"/>
          <w:kern w:val="2"/>
          <w:sz w:val="32"/>
          <w:szCs w:val="32"/>
          <w:highlight w:val="none"/>
          <w:shd w:val="clear" w:color="auto" w:fill="auto"/>
          <w:lang w:val="en-US" w:eastAsia="zh-CN"/>
        </w:rPr>
        <w:t>增加</w:t>
      </w:r>
      <w:r>
        <w:rPr>
          <w:rFonts w:hint="eastAsia" w:ascii="仿宋_GB2312" w:hAnsi="仿宋_GB2312" w:eastAsia="仿宋_GB2312" w:cs="仿宋_GB2312"/>
          <w:color w:val="auto"/>
          <w:kern w:val="2"/>
          <w:sz w:val="32"/>
          <w:szCs w:val="32"/>
          <w:highlight w:val="none"/>
          <w:shd w:val="clear" w:color="auto" w:fill="auto"/>
          <w:lang w:val="en-US" w:eastAsia="zh"/>
        </w:rPr>
        <w:t>删除记录审核功能</w:t>
      </w:r>
      <w:r>
        <w:rPr>
          <w:rFonts w:hint="eastAsia" w:ascii="仿宋_GB2312" w:hAnsi="仿宋_GB2312" w:eastAsia="仿宋_GB2312" w:cs="仿宋_GB2312"/>
          <w:color w:val="auto"/>
          <w:kern w:val="2"/>
          <w:sz w:val="32"/>
          <w:szCs w:val="32"/>
          <w:highlight w:val="none"/>
          <w:shd w:val="clear" w:color="auto" w:fill="auto"/>
          <w:lang w:val="en-US" w:eastAsia="zh-CN"/>
        </w:rPr>
        <w:t>，</w:t>
      </w:r>
      <w:r>
        <w:rPr>
          <w:rFonts w:hint="eastAsia" w:ascii="仿宋_GB2312" w:hAnsi="仿宋_GB2312" w:eastAsia="仿宋_GB2312" w:cs="仿宋_GB2312"/>
          <w:color w:val="auto"/>
          <w:kern w:val="2"/>
          <w:sz w:val="32"/>
          <w:szCs w:val="32"/>
          <w:highlight w:val="none"/>
          <w:shd w:val="clear" w:color="auto" w:fill="auto"/>
          <w:lang w:val="en-US" w:eastAsia="zh"/>
        </w:rPr>
        <w:t>在删除记录时，增加审核环节，要求填写详细的删除原因，并附上相关证明材料，确保删除操作的合理性和透明性。</w:t>
      </w:r>
      <w:r>
        <w:rPr>
          <w:rFonts w:hint="eastAsia" w:ascii="仿宋_GB2312" w:hAnsi="仿宋_GB2312" w:eastAsia="仿宋_GB2312" w:cs="仿宋_GB2312"/>
          <w:color w:val="auto"/>
          <w:kern w:val="2"/>
          <w:sz w:val="32"/>
          <w:szCs w:val="32"/>
          <w:highlight w:val="none"/>
          <w:shd w:val="clear" w:color="auto" w:fill="auto"/>
          <w:lang w:val="en-US" w:eastAsia="zh-CN"/>
        </w:rPr>
        <w:t>市级</w:t>
      </w:r>
      <w:r>
        <w:rPr>
          <w:rFonts w:hint="eastAsia" w:ascii="仿宋_GB2312" w:hAnsi="仿宋_GB2312" w:eastAsia="仿宋_GB2312" w:cs="仿宋_GB2312"/>
          <w:color w:val="auto"/>
          <w:kern w:val="2"/>
          <w:sz w:val="32"/>
          <w:szCs w:val="32"/>
          <w:highlight w:val="none"/>
          <w:shd w:val="clear" w:color="auto" w:fill="auto"/>
          <w:lang w:val="en-US" w:eastAsia="zh"/>
        </w:rPr>
        <w:t>应</w:t>
      </w:r>
      <w:r>
        <w:rPr>
          <w:rFonts w:hint="eastAsia" w:ascii="仿宋_GB2312" w:hAnsi="仿宋_GB2312" w:eastAsia="仿宋_GB2312" w:cs="仿宋_GB2312"/>
          <w:color w:val="auto"/>
          <w:kern w:val="2"/>
          <w:sz w:val="32"/>
          <w:szCs w:val="32"/>
          <w:highlight w:val="none"/>
          <w:shd w:val="clear" w:color="auto" w:fill="auto"/>
          <w:lang w:val="en-US" w:eastAsia="zh-CN"/>
        </w:rPr>
        <w:t>组织人员</w:t>
      </w:r>
      <w:r>
        <w:rPr>
          <w:rFonts w:hint="eastAsia" w:ascii="仿宋_GB2312" w:hAnsi="仿宋_GB2312" w:eastAsia="仿宋_GB2312" w:cs="仿宋_GB2312"/>
          <w:color w:val="auto"/>
          <w:kern w:val="2"/>
          <w:sz w:val="32"/>
          <w:szCs w:val="32"/>
          <w:highlight w:val="none"/>
          <w:shd w:val="clear" w:color="auto" w:fill="auto"/>
          <w:lang w:val="en-US" w:eastAsia="zh"/>
        </w:rPr>
        <w:t>定期（如每月或每季度）对区里的删除记录进行核查，重点检查红色记录的删除原因是否合理。</w:t>
      </w:r>
      <w:r>
        <w:rPr>
          <w:rFonts w:hint="eastAsia" w:ascii="仿宋_GB2312" w:hAnsi="仿宋_GB2312" w:eastAsia="仿宋_GB2312" w:cs="仿宋_GB2312"/>
          <w:b/>
          <w:bCs/>
          <w:color w:val="auto"/>
          <w:kern w:val="2"/>
          <w:sz w:val="32"/>
          <w:szCs w:val="32"/>
          <w:highlight w:val="none"/>
          <w:shd w:val="clear" w:color="auto" w:fill="auto"/>
          <w:lang w:val="en-US" w:eastAsia="zh-CN"/>
        </w:rPr>
        <w:t>三是</w:t>
      </w:r>
      <w:r>
        <w:rPr>
          <w:rFonts w:hint="eastAsia" w:ascii="仿宋_GB2312" w:hAnsi="仿宋_GB2312" w:eastAsia="仿宋_GB2312" w:cs="仿宋_GB2312"/>
          <w:color w:val="auto"/>
          <w:kern w:val="2"/>
          <w:sz w:val="32"/>
          <w:szCs w:val="32"/>
          <w:highlight w:val="none"/>
          <w:shd w:val="clear" w:color="auto" w:fill="auto"/>
          <w:lang w:val="en-US" w:eastAsia="zh"/>
        </w:rPr>
        <w:t>重新评估和调整删除记录的权限，确保只有经过授权的人员才能删除记录。例如：无害化处理厂只能标记记录为“已申报未收集”，但不能直接删除记录。区里防疫科负责审核无害化处理厂的标记，确认后才能删除记录。</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楷体_GB2312" w:hAnsi="楷体_GB2312" w:eastAsia="楷体_GB2312" w:cs="楷体_GB2312"/>
          <w:kern w:val="2"/>
          <w:sz w:val="32"/>
          <w:szCs w:val="40"/>
          <w:highlight w:val="none"/>
          <w:lang w:val="en-US" w:eastAsia="zh" w:bidi="ar-SA"/>
        </w:rPr>
        <w:t>（三）加强对无害化处理厂收集人员政策培训</w:t>
      </w:r>
      <w:r>
        <w:rPr>
          <w:rFonts w:hint="eastAsia" w:ascii="楷体_GB2312" w:hAnsi="楷体_GB2312" w:eastAsia="楷体_GB2312" w:cs="楷体_GB2312"/>
          <w:kern w:val="2"/>
          <w:sz w:val="32"/>
          <w:szCs w:val="40"/>
          <w:highlight w:val="none"/>
          <w:lang w:val="en-US" w:eastAsia="zh-CN" w:bidi="ar-SA"/>
        </w:rPr>
        <w:t>。</w:t>
      </w:r>
      <w:r>
        <w:rPr>
          <w:rFonts w:hint="eastAsia" w:ascii="仿宋_GB2312" w:hAnsi="仿宋_GB2312" w:eastAsia="仿宋_GB2312" w:cs="仿宋_GB2312"/>
          <w:color w:val="auto"/>
          <w:kern w:val="2"/>
          <w:sz w:val="32"/>
          <w:szCs w:val="32"/>
          <w:highlight w:val="none"/>
          <w:shd w:val="clear" w:color="auto" w:fill="auto"/>
          <w:lang w:val="en-US" w:eastAsia="zh"/>
        </w:rPr>
        <w:t>立即恢复被错误删除的申报记录，并补发相应的补助。通过多种渠道（如官方网站、社交媒体、宣传册等）加强对补助政策和投诉路径的宣传，确保养殖户知晓。除了在线平台，还可以通过设立热线电话、服务窗口等方式，为养殖户提供多渠道的沟通和投诉途径。</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楷体_GB2312" w:hAnsi="楷体_GB2312" w:eastAsia="楷体_GB2312" w:cs="楷体_GB2312"/>
          <w:kern w:val="2"/>
          <w:sz w:val="32"/>
          <w:szCs w:val="40"/>
          <w:highlight w:val="none"/>
          <w:lang w:val="en-US" w:eastAsia="zh" w:bidi="ar-SA"/>
        </w:rPr>
        <w:t>（四）优化保险公司响应流程</w:t>
      </w:r>
      <w:r>
        <w:rPr>
          <w:rFonts w:hint="eastAsia" w:ascii="楷体_GB2312" w:hAnsi="楷体_GB2312" w:eastAsia="楷体_GB2312" w:cs="楷体_GB2312"/>
          <w:kern w:val="2"/>
          <w:sz w:val="32"/>
          <w:szCs w:val="40"/>
          <w:highlight w:val="none"/>
          <w:lang w:val="en-US" w:eastAsia="zh-CN" w:bidi="ar-SA"/>
        </w:rPr>
        <w:t>。</w:t>
      </w:r>
      <w:r>
        <w:rPr>
          <w:rFonts w:hint="eastAsia" w:ascii="仿宋_GB2312" w:hAnsi="仿宋_GB2312" w:eastAsia="仿宋_GB2312" w:cs="仿宋_GB2312"/>
          <w:color w:val="auto"/>
          <w:kern w:val="2"/>
          <w:sz w:val="32"/>
          <w:szCs w:val="32"/>
          <w:highlight w:val="none"/>
          <w:shd w:val="clear" w:color="auto" w:fill="auto"/>
          <w:lang w:val="en-US" w:eastAsia="zh-CN"/>
        </w:rPr>
        <w:t>在调查中发现，对于投保的病死猪，</w:t>
      </w:r>
      <w:r>
        <w:rPr>
          <w:rFonts w:hint="eastAsia" w:ascii="仿宋_GB2312" w:hAnsi="仿宋_GB2312" w:eastAsia="仿宋_GB2312" w:cs="仿宋_GB2312"/>
          <w:color w:val="auto"/>
          <w:kern w:val="2"/>
          <w:sz w:val="32"/>
          <w:szCs w:val="32"/>
          <w:highlight w:val="none"/>
          <w:shd w:val="clear" w:color="auto" w:fill="auto"/>
          <w:lang w:val="en-US" w:eastAsia="zh"/>
        </w:rPr>
        <w:t>养殖户首先需要联系保险公司进行现场拍照和取证。保险公司的响应时间直接影响了病死猪被收集和处理的时间。建议与保险公司协商，优化现场取证流程，减少不必要的等待时间。制定应急预案，特别是在疫病高发期或紧急情况下</w:t>
      </w:r>
      <w:r>
        <w:rPr>
          <w:rFonts w:hint="eastAsia" w:ascii="仿宋_GB2312" w:hAnsi="仿宋_GB2312" w:eastAsia="仿宋_GB2312" w:cs="仿宋_GB2312"/>
          <w:color w:val="auto"/>
          <w:kern w:val="2"/>
          <w:sz w:val="32"/>
          <w:szCs w:val="32"/>
          <w:highlight w:val="none"/>
          <w:shd w:val="clear" w:color="auto" w:fill="auto"/>
          <w:lang w:val="en-US" w:eastAsia="zh-CN"/>
        </w:rPr>
        <w:t>，协调</w:t>
      </w:r>
      <w:r>
        <w:rPr>
          <w:rFonts w:hint="eastAsia" w:ascii="仿宋_GB2312" w:hAnsi="仿宋_GB2312" w:eastAsia="仿宋_GB2312" w:cs="仿宋_GB2312"/>
          <w:color w:val="auto"/>
          <w:kern w:val="2"/>
          <w:sz w:val="32"/>
          <w:szCs w:val="32"/>
          <w:highlight w:val="none"/>
          <w:shd w:val="clear" w:color="auto" w:fill="auto"/>
          <w:lang w:val="en-US" w:eastAsia="zh"/>
        </w:rPr>
        <w:t>保险公司提供快速反应服务，确保病死猪得到及时处理。在保险公司未能及时到达的情况下，允许或指导养殖户先行进行安全隔离或初步处理。</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楷体_GB2312" w:hAnsi="楷体_GB2312" w:eastAsia="楷体_GB2312" w:cs="楷体_GB2312"/>
          <w:kern w:val="2"/>
          <w:sz w:val="32"/>
          <w:szCs w:val="40"/>
          <w:highlight w:val="none"/>
          <w:lang w:val="en-US" w:eastAsia="zh" w:bidi="ar-SA"/>
        </w:rPr>
        <w:t>（五）明确平台上传照片规范。</w:t>
      </w:r>
      <w:r>
        <w:rPr>
          <w:rFonts w:hint="eastAsia" w:ascii="仿宋_GB2312" w:hAnsi="仿宋_GB2312" w:eastAsia="仿宋_GB2312" w:cs="仿宋_GB2312"/>
          <w:color w:val="auto"/>
          <w:kern w:val="2"/>
          <w:sz w:val="32"/>
          <w:szCs w:val="32"/>
          <w:highlight w:val="none"/>
          <w:shd w:val="clear" w:color="auto" w:fill="auto"/>
          <w:lang w:val="en-US" w:eastAsia="zh"/>
        </w:rPr>
        <w:t>制定并公布死亡畜禽信息照片的具体规范，包括照片的清晰度、角度、背景等要求。加强审核培训：对审核人员进行培训，提高他们对照片规范性的识别和判断能力。</w:t>
      </w:r>
    </w:p>
    <w:p>
      <w:pPr>
        <w:rPr>
          <w:rFonts w:hint="eastAsia"/>
        </w:rPr>
      </w:pPr>
    </w:p>
    <w:p>
      <w:pPr>
        <w:pStyle w:val="2"/>
      </w:pPr>
      <w:bookmarkStart w:id="16" w:name="_GoBack"/>
      <w:bookmarkEnd w:id="16"/>
    </w:p>
    <w:sectPr>
      <w:footerReference r:id="rId5"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文星简黑体">
    <w:altName w:val="黑体"/>
    <w:panose1 w:val="00000000000000000000"/>
    <w:charset w:val="86"/>
    <w:family w:val="roman"/>
    <w:pitch w:val="default"/>
    <w:sig w:usb0="00000000" w:usb1="00000000" w:usb2="0000001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67945</wp:posOffset>
              </wp:positionV>
              <wp:extent cx="297815" cy="1828800"/>
              <wp:effectExtent l="0" t="0" r="7620" b="5080"/>
              <wp:wrapNone/>
              <wp:docPr id="15" name="文本框 15"/>
              <wp:cNvGraphicFramePr/>
              <a:graphic xmlns:a="http://schemas.openxmlformats.org/drawingml/2006/main">
                <a:graphicData uri="http://schemas.microsoft.com/office/word/2010/wordprocessingShape">
                  <wps:wsp>
                    <wps:cNvSpPr txBox="1"/>
                    <wps:spPr>
                      <a:xfrm>
                        <a:off x="0" y="0"/>
                        <a:ext cx="297711"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24</w:t>
                          </w:r>
                          <w:r>
                            <w:rPr>
                              <w:rFonts w:ascii="Times New Roman" w:hAnsi="Times New Roman" w:cs="Times New Roman"/>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5.35pt;height:144pt;width:23.45pt;mso-position-horizontal:center;mso-position-horizontal-relative:margin;z-index:251659264;mso-width-relative:page;mso-height-relative:page;" filled="f" stroked="f" coordsize="21600,21600" o:gfxdata="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ABoT1QAAAAYBAAAPAAAA&#10;AAAAAAEAIAAAACIAAABkcnMvZG93bnJldi54bWxQSwECFAAUAAAACACHTuJAYp6LZhgCAAAKBAAA&#10;DgAAAAAAAAABACAAAAAkAQAAZHJzL2Uyb0RvYy54bWxQSwUGAAAAAAYABgBZAQAArgUAAAAA&#10;">
              <v:fill on="f" focussize="0,0"/>
              <v:stroke on="f" weight="0.5pt"/>
              <v:imagedata o:title=""/>
              <o:lock v:ext="edit" aspectratio="f"/>
              <v:textbox inset="0mm,0mm,0mm,0mm" style="mso-fit-shape-to-text:t;">
                <w:txbxContent>
                  <w:p>
                    <w:pPr>
                      <w:snapToGrid w:val="0"/>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24</w:t>
                    </w:r>
                    <w:r>
                      <w:rPr>
                        <w:rFonts w:ascii="Times New Roman" w:hAnsi="Times New Roman" w:cs="Times New Roman"/>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67945</wp:posOffset>
              </wp:positionV>
              <wp:extent cx="297815"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97711"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5.35pt;height:144pt;width:23.45pt;mso-position-horizontal:center;mso-position-horizontal-relative:margin;z-index:251659264;mso-width-relative:page;mso-height-relative:page;" filled="f" stroked="f" coordsize="21600,21600" o:gfxdata="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ABoT1QAAAAYBAAAPAAAAAAAA&#10;AAEAIAAAACIAAABkcnMvZG93bnJldi54bWxQSwECFAAUAAAACACHTuJA6pVlQBUCAAAIBAAADgAA&#10;AAAAAAABACAAAAAkAQAAZHJzL2Uyb0RvYy54bWxQSwUGAAAAAAYABgBZAQAAqwUAAAAA&#10;">
              <v:fill on="f" focussize="0,0"/>
              <v:stroke on="f" weight="0.5pt"/>
              <v:imagedata o:title=""/>
              <o:lock v:ext="edit" aspectratio="f"/>
              <v:textbox inset="0mm,0mm,0mm,0mm" style="mso-fit-shape-to-text:t;">
                <w:txbxContent>
                  <w:p>
                    <w:pPr>
                      <w:snapToGrid w:val="0"/>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FAD2A3"/>
    <w:multiLevelType w:val="singleLevel"/>
    <w:tmpl w:val="7FFAD2A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saveSubsetFonts/>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0MWM1MDhhYTQzZDRhYTUzOWJmMDA2MjM3NzgwNTEifQ=="/>
  </w:docVars>
  <w:rsids>
    <w:rsidRoot w:val="00CE19B1"/>
    <w:rsid w:val="000018EE"/>
    <w:rsid w:val="00002C5F"/>
    <w:rsid w:val="00002DA1"/>
    <w:rsid w:val="00003A95"/>
    <w:rsid w:val="00005042"/>
    <w:rsid w:val="00005B41"/>
    <w:rsid w:val="0000737F"/>
    <w:rsid w:val="00007457"/>
    <w:rsid w:val="00011A92"/>
    <w:rsid w:val="00011AF0"/>
    <w:rsid w:val="00011FF8"/>
    <w:rsid w:val="00012B98"/>
    <w:rsid w:val="000136B7"/>
    <w:rsid w:val="00014737"/>
    <w:rsid w:val="0001514E"/>
    <w:rsid w:val="00015FB3"/>
    <w:rsid w:val="00016FD6"/>
    <w:rsid w:val="0002289F"/>
    <w:rsid w:val="00023BC3"/>
    <w:rsid w:val="00024B5D"/>
    <w:rsid w:val="00024FF9"/>
    <w:rsid w:val="00025698"/>
    <w:rsid w:val="00025C2F"/>
    <w:rsid w:val="00026692"/>
    <w:rsid w:val="00026ECF"/>
    <w:rsid w:val="00027F7B"/>
    <w:rsid w:val="0003042E"/>
    <w:rsid w:val="000324DF"/>
    <w:rsid w:val="00034139"/>
    <w:rsid w:val="00034C36"/>
    <w:rsid w:val="0003597E"/>
    <w:rsid w:val="00035E9B"/>
    <w:rsid w:val="00036660"/>
    <w:rsid w:val="00040D7F"/>
    <w:rsid w:val="00041487"/>
    <w:rsid w:val="00041968"/>
    <w:rsid w:val="00041BC6"/>
    <w:rsid w:val="000447FF"/>
    <w:rsid w:val="0004651C"/>
    <w:rsid w:val="00047DA7"/>
    <w:rsid w:val="0005186B"/>
    <w:rsid w:val="00056D8E"/>
    <w:rsid w:val="000620CA"/>
    <w:rsid w:val="00062677"/>
    <w:rsid w:val="00063794"/>
    <w:rsid w:val="000662C2"/>
    <w:rsid w:val="00070623"/>
    <w:rsid w:val="00071E3D"/>
    <w:rsid w:val="000723AC"/>
    <w:rsid w:val="00072ABB"/>
    <w:rsid w:val="00075EF9"/>
    <w:rsid w:val="000764C2"/>
    <w:rsid w:val="00077228"/>
    <w:rsid w:val="000801C3"/>
    <w:rsid w:val="000802E0"/>
    <w:rsid w:val="000804DF"/>
    <w:rsid w:val="00083685"/>
    <w:rsid w:val="00085BF9"/>
    <w:rsid w:val="00091C56"/>
    <w:rsid w:val="00091D2C"/>
    <w:rsid w:val="00094407"/>
    <w:rsid w:val="00094EED"/>
    <w:rsid w:val="00096A8E"/>
    <w:rsid w:val="00096E52"/>
    <w:rsid w:val="000A0558"/>
    <w:rsid w:val="000A06C2"/>
    <w:rsid w:val="000A166E"/>
    <w:rsid w:val="000A2401"/>
    <w:rsid w:val="000B01C1"/>
    <w:rsid w:val="000B0671"/>
    <w:rsid w:val="000B5290"/>
    <w:rsid w:val="000B631E"/>
    <w:rsid w:val="000B67B8"/>
    <w:rsid w:val="000B7FB3"/>
    <w:rsid w:val="000C0742"/>
    <w:rsid w:val="000C10AE"/>
    <w:rsid w:val="000C12F1"/>
    <w:rsid w:val="000C2069"/>
    <w:rsid w:val="000C27EE"/>
    <w:rsid w:val="000C2A99"/>
    <w:rsid w:val="000C3F41"/>
    <w:rsid w:val="000C4B59"/>
    <w:rsid w:val="000C5A21"/>
    <w:rsid w:val="000C7BFD"/>
    <w:rsid w:val="000D054D"/>
    <w:rsid w:val="000D3F7E"/>
    <w:rsid w:val="000D4F67"/>
    <w:rsid w:val="000D7862"/>
    <w:rsid w:val="000E2CBA"/>
    <w:rsid w:val="000E5DEE"/>
    <w:rsid w:val="000E5EC1"/>
    <w:rsid w:val="000E6E3B"/>
    <w:rsid w:val="000F14CD"/>
    <w:rsid w:val="000F18A2"/>
    <w:rsid w:val="000F2102"/>
    <w:rsid w:val="000F222E"/>
    <w:rsid w:val="000F2E9A"/>
    <w:rsid w:val="000F70FC"/>
    <w:rsid w:val="001004B9"/>
    <w:rsid w:val="0010168D"/>
    <w:rsid w:val="00102682"/>
    <w:rsid w:val="00102AFF"/>
    <w:rsid w:val="00102E62"/>
    <w:rsid w:val="001038DC"/>
    <w:rsid w:val="00104600"/>
    <w:rsid w:val="00106366"/>
    <w:rsid w:val="001071F8"/>
    <w:rsid w:val="0010736B"/>
    <w:rsid w:val="001120D9"/>
    <w:rsid w:val="00112EBF"/>
    <w:rsid w:val="001162B6"/>
    <w:rsid w:val="00116BFD"/>
    <w:rsid w:val="001204C4"/>
    <w:rsid w:val="00125188"/>
    <w:rsid w:val="0012668B"/>
    <w:rsid w:val="00130177"/>
    <w:rsid w:val="001301CB"/>
    <w:rsid w:val="001307A4"/>
    <w:rsid w:val="0013283E"/>
    <w:rsid w:val="00132EA7"/>
    <w:rsid w:val="00133362"/>
    <w:rsid w:val="00133634"/>
    <w:rsid w:val="0013464A"/>
    <w:rsid w:val="00136501"/>
    <w:rsid w:val="00142C20"/>
    <w:rsid w:val="001536FD"/>
    <w:rsid w:val="001553F4"/>
    <w:rsid w:val="00155D03"/>
    <w:rsid w:val="00156838"/>
    <w:rsid w:val="00157EEC"/>
    <w:rsid w:val="00160187"/>
    <w:rsid w:val="00161C52"/>
    <w:rsid w:val="00170BA4"/>
    <w:rsid w:val="00171DDD"/>
    <w:rsid w:val="001725F0"/>
    <w:rsid w:val="0017568C"/>
    <w:rsid w:val="00175E74"/>
    <w:rsid w:val="00176E6E"/>
    <w:rsid w:val="001772EF"/>
    <w:rsid w:val="001814DA"/>
    <w:rsid w:val="001823F5"/>
    <w:rsid w:val="001834D6"/>
    <w:rsid w:val="00185688"/>
    <w:rsid w:val="00185DC2"/>
    <w:rsid w:val="00186309"/>
    <w:rsid w:val="00187D24"/>
    <w:rsid w:val="00191B51"/>
    <w:rsid w:val="00192548"/>
    <w:rsid w:val="00193BB2"/>
    <w:rsid w:val="001952B3"/>
    <w:rsid w:val="001A0A00"/>
    <w:rsid w:val="001A1421"/>
    <w:rsid w:val="001A2DFD"/>
    <w:rsid w:val="001A56F1"/>
    <w:rsid w:val="001A6522"/>
    <w:rsid w:val="001A6C40"/>
    <w:rsid w:val="001B07B0"/>
    <w:rsid w:val="001B14DC"/>
    <w:rsid w:val="001B474B"/>
    <w:rsid w:val="001B4FC1"/>
    <w:rsid w:val="001B6173"/>
    <w:rsid w:val="001C146C"/>
    <w:rsid w:val="001C22EB"/>
    <w:rsid w:val="001C28B9"/>
    <w:rsid w:val="001C2B07"/>
    <w:rsid w:val="001C6508"/>
    <w:rsid w:val="001C76E7"/>
    <w:rsid w:val="001D0F78"/>
    <w:rsid w:val="001D1AA5"/>
    <w:rsid w:val="001D333F"/>
    <w:rsid w:val="001D463B"/>
    <w:rsid w:val="001D5120"/>
    <w:rsid w:val="001D5206"/>
    <w:rsid w:val="001D530B"/>
    <w:rsid w:val="001D70D5"/>
    <w:rsid w:val="001E161D"/>
    <w:rsid w:val="001E2F0D"/>
    <w:rsid w:val="001E345A"/>
    <w:rsid w:val="001E3D8E"/>
    <w:rsid w:val="001E41D0"/>
    <w:rsid w:val="001E4AD2"/>
    <w:rsid w:val="001E662E"/>
    <w:rsid w:val="001E737E"/>
    <w:rsid w:val="001F20F3"/>
    <w:rsid w:val="001F2825"/>
    <w:rsid w:val="001F6EB3"/>
    <w:rsid w:val="00201E5C"/>
    <w:rsid w:val="0020206E"/>
    <w:rsid w:val="00202A2A"/>
    <w:rsid w:val="00202B6E"/>
    <w:rsid w:val="00204E0C"/>
    <w:rsid w:val="002054A1"/>
    <w:rsid w:val="00206662"/>
    <w:rsid w:val="002137E5"/>
    <w:rsid w:val="00213DE2"/>
    <w:rsid w:val="002175A0"/>
    <w:rsid w:val="002175C3"/>
    <w:rsid w:val="0021770C"/>
    <w:rsid w:val="002205E2"/>
    <w:rsid w:val="00220780"/>
    <w:rsid w:val="00221024"/>
    <w:rsid w:val="00221AA1"/>
    <w:rsid w:val="00222E38"/>
    <w:rsid w:val="00223990"/>
    <w:rsid w:val="00226106"/>
    <w:rsid w:val="002262EA"/>
    <w:rsid w:val="00226656"/>
    <w:rsid w:val="0022760A"/>
    <w:rsid w:val="00233740"/>
    <w:rsid w:val="00233EBA"/>
    <w:rsid w:val="0023666D"/>
    <w:rsid w:val="0023746B"/>
    <w:rsid w:val="00241D88"/>
    <w:rsid w:val="00242DDC"/>
    <w:rsid w:val="0024491E"/>
    <w:rsid w:val="002464ED"/>
    <w:rsid w:val="002473AC"/>
    <w:rsid w:val="00247441"/>
    <w:rsid w:val="0025020B"/>
    <w:rsid w:val="002524DC"/>
    <w:rsid w:val="002543CE"/>
    <w:rsid w:val="002544E5"/>
    <w:rsid w:val="0025503F"/>
    <w:rsid w:val="00255474"/>
    <w:rsid w:val="00255EDC"/>
    <w:rsid w:val="00257519"/>
    <w:rsid w:val="00257CA5"/>
    <w:rsid w:val="00261FAC"/>
    <w:rsid w:val="00262056"/>
    <w:rsid w:val="002647AD"/>
    <w:rsid w:val="00265CAE"/>
    <w:rsid w:val="00267EF5"/>
    <w:rsid w:val="00271A45"/>
    <w:rsid w:val="00271AB2"/>
    <w:rsid w:val="0027255E"/>
    <w:rsid w:val="00273BC2"/>
    <w:rsid w:val="00274465"/>
    <w:rsid w:val="002803E2"/>
    <w:rsid w:val="00284347"/>
    <w:rsid w:val="00284E07"/>
    <w:rsid w:val="002861CF"/>
    <w:rsid w:val="00286917"/>
    <w:rsid w:val="002870DA"/>
    <w:rsid w:val="00290728"/>
    <w:rsid w:val="0029093C"/>
    <w:rsid w:val="00290B3D"/>
    <w:rsid w:val="00292B78"/>
    <w:rsid w:val="002952A2"/>
    <w:rsid w:val="00297C12"/>
    <w:rsid w:val="002A2723"/>
    <w:rsid w:val="002A27AA"/>
    <w:rsid w:val="002A2948"/>
    <w:rsid w:val="002A2C8D"/>
    <w:rsid w:val="002B2EE3"/>
    <w:rsid w:val="002B4F3A"/>
    <w:rsid w:val="002B58CE"/>
    <w:rsid w:val="002B68E5"/>
    <w:rsid w:val="002C30FD"/>
    <w:rsid w:val="002C3F19"/>
    <w:rsid w:val="002C440B"/>
    <w:rsid w:val="002C5758"/>
    <w:rsid w:val="002C638E"/>
    <w:rsid w:val="002C6E58"/>
    <w:rsid w:val="002C71C1"/>
    <w:rsid w:val="002D0732"/>
    <w:rsid w:val="002D0C28"/>
    <w:rsid w:val="002D1FA1"/>
    <w:rsid w:val="002D33E5"/>
    <w:rsid w:val="002D61BC"/>
    <w:rsid w:val="002E087F"/>
    <w:rsid w:val="002E1C54"/>
    <w:rsid w:val="002E22B3"/>
    <w:rsid w:val="002E2614"/>
    <w:rsid w:val="002E33F3"/>
    <w:rsid w:val="002F1192"/>
    <w:rsid w:val="002F1BEA"/>
    <w:rsid w:val="002F28F2"/>
    <w:rsid w:val="002F351E"/>
    <w:rsid w:val="002F41B9"/>
    <w:rsid w:val="002F5674"/>
    <w:rsid w:val="002F7914"/>
    <w:rsid w:val="00301463"/>
    <w:rsid w:val="00302198"/>
    <w:rsid w:val="003025F1"/>
    <w:rsid w:val="00310F60"/>
    <w:rsid w:val="00311AD8"/>
    <w:rsid w:val="00312455"/>
    <w:rsid w:val="00312CAB"/>
    <w:rsid w:val="00315375"/>
    <w:rsid w:val="00315C01"/>
    <w:rsid w:val="003161E2"/>
    <w:rsid w:val="0031638D"/>
    <w:rsid w:val="003223CA"/>
    <w:rsid w:val="00322DAD"/>
    <w:rsid w:val="00325121"/>
    <w:rsid w:val="00325B41"/>
    <w:rsid w:val="0032608B"/>
    <w:rsid w:val="00327096"/>
    <w:rsid w:val="003278B2"/>
    <w:rsid w:val="00330F47"/>
    <w:rsid w:val="0033155F"/>
    <w:rsid w:val="00331EE2"/>
    <w:rsid w:val="00332AAE"/>
    <w:rsid w:val="00332B7D"/>
    <w:rsid w:val="00334957"/>
    <w:rsid w:val="00337798"/>
    <w:rsid w:val="003404BB"/>
    <w:rsid w:val="00341C60"/>
    <w:rsid w:val="00341EEA"/>
    <w:rsid w:val="003422C7"/>
    <w:rsid w:val="00342A5E"/>
    <w:rsid w:val="0034316F"/>
    <w:rsid w:val="003441EF"/>
    <w:rsid w:val="003447C4"/>
    <w:rsid w:val="0034628B"/>
    <w:rsid w:val="00351620"/>
    <w:rsid w:val="003531E2"/>
    <w:rsid w:val="00355DE7"/>
    <w:rsid w:val="003602AE"/>
    <w:rsid w:val="00360907"/>
    <w:rsid w:val="00360988"/>
    <w:rsid w:val="003617B2"/>
    <w:rsid w:val="00362458"/>
    <w:rsid w:val="003626B0"/>
    <w:rsid w:val="00363281"/>
    <w:rsid w:val="003635C0"/>
    <w:rsid w:val="00365124"/>
    <w:rsid w:val="00366A56"/>
    <w:rsid w:val="00380AEA"/>
    <w:rsid w:val="00381304"/>
    <w:rsid w:val="00382352"/>
    <w:rsid w:val="00384150"/>
    <w:rsid w:val="00386257"/>
    <w:rsid w:val="00390EFE"/>
    <w:rsid w:val="0039282F"/>
    <w:rsid w:val="00392EFD"/>
    <w:rsid w:val="00395FA7"/>
    <w:rsid w:val="003967A8"/>
    <w:rsid w:val="00397A51"/>
    <w:rsid w:val="003A0A32"/>
    <w:rsid w:val="003A35F0"/>
    <w:rsid w:val="003A7B33"/>
    <w:rsid w:val="003A7BFE"/>
    <w:rsid w:val="003B037F"/>
    <w:rsid w:val="003B46D6"/>
    <w:rsid w:val="003C0422"/>
    <w:rsid w:val="003C06C5"/>
    <w:rsid w:val="003C1CF1"/>
    <w:rsid w:val="003C498E"/>
    <w:rsid w:val="003C7A77"/>
    <w:rsid w:val="003D1F53"/>
    <w:rsid w:val="003D35F2"/>
    <w:rsid w:val="003D73E6"/>
    <w:rsid w:val="003D7F4E"/>
    <w:rsid w:val="003E05FC"/>
    <w:rsid w:val="003E1A37"/>
    <w:rsid w:val="003E250A"/>
    <w:rsid w:val="003E49FF"/>
    <w:rsid w:val="003E4DC1"/>
    <w:rsid w:val="003F2EFF"/>
    <w:rsid w:val="003F3DB9"/>
    <w:rsid w:val="003F447E"/>
    <w:rsid w:val="003F6851"/>
    <w:rsid w:val="00400B24"/>
    <w:rsid w:val="004069A2"/>
    <w:rsid w:val="00410C94"/>
    <w:rsid w:val="004137C7"/>
    <w:rsid w:val="00414179"/>
    <w:rsid w:val="0041590F"/>
    <w:rsid w:val="00416C2B"/>
    <w:rsid w:val="004236E4"/>
    <w:rsid w:val="004238BC"/>
    <w:rsid w:val="00423DE1"/>
    <w:rsid w:val="00425147"/>
    <w:rsid w:val="00425C47"/>
    <w:rsid w:val="004271F0"/>
    <w:rsid w:val="00427489"/>
    <w:rsid w:val="00430CE9"/>
    <w:rsid w:val="00430E32"/>
    <w:rsid w:val="004332A2"/>
    <w:rsid w:val="00433903"/>
    <w:rsid w:val="00433D64"/>
    <w:rsid w:val="00435381"/>
    <w:rsid w:val="00436A3A"/>
    <w:rsid w:val="00440D7F"/>
    <w:rsid w:val="0044109A"/>
    <w:rsid w:val="00441801"/>
    <w:rsid w:val="00441BD7"/>
    <w:rsid w:val="00443CE4"/>
    <w:rsid w:val="00443F80"/>
    <w:rsid w:val="004479FD"/>
    <w:rsid w:val="00447E37"/>
    <w:rsid w:val="00451AE0"/>
    <w:rsid w:val="00451B8E"/>
    <w:rsid w:val="004527FD"/>
    <w:rsid w:val="00455D47"/>
    <w:rsid w:val="004641CC"/>
    <w:rsid w:val="00464318"/>
    <w:rsid w:val="0046450F"/>
    <w:rsid w:val="004653C1"/>
    <w:rsid w:val="004659CD"/>
    <w:rsid w:val="00467328"/>
    <w:rsid w:val="004744A5"/>
    <w:rsid w:val="004768E9"/>
    <w:rsid w:val="00476A0E"/>
    <w:rsid w:val="00477F7A"/>
    <w:rsid w:val="004806E3"/>
    <w:rsid w:val="004819F4"/>
    <w:rsid w:val="00484381"/>
    <w:rsid w:val="00486875"/>
    <w:rsid w:val="00486FAC"/>
    <w:rsid w:val="00487068"/>
    <w:rsid w:val="004900F7"/>
    <w:rsid w:val="00491AA5"/>
    <w:rsid w:val="00493174"/>
    <w:rsid w:val="004944DC"/>
    <w:rsid w:val="004A1889"/>
    <w:rsid w:val="004A2146"/>
    <w:rsid w:val="004A2F60"/>
    <w:rsid w:val="004A3427"/>
    <w:rsid w:val="004A3439"/>
    <w:rsid w:val="004A411F"/>
    <w:rsid w:val="004B17F2"/>
    <w:rsid w:val="004B26CE"/>
    <w:rsid w:val="004B2B79"/>
    <w:rsid w:val="004B4994"/>
    <w:rsid w:val="004B55D0"/>
    <w:rsid w:val="004B6144"/>
    <w:rsid w:val="004C159B"/>
    <w:rsid w:val="004C41F5"/>
    <w:rsid w:val="004C4757"/>
    <w:rsid w:val="004C57B7"/>
    <w:rsid w:val="004D12B0"/>
    <w:rsid w:val="004D2AA0"/>
    <w:rsid w:val="004D472E"/>
    <w:rsid w:val="004D4F2A"/>
    <w:rsid w:val="004D53E5"/>
    <w:rsid w:val="004D57A3"/>
    <w:rsid w:val="004D67E2"/>
    <w:rsid w:val="004E0E27"/>
    <w:rsid w:val="004E25C0"/>
    <w:rsid w:val="004E3305"/>
    <w:rsid w:val="004E5D11"/>
    <w:rsid w:val="004E7977"/>
    <w:rsid w:val="004F1691"/>
    <w:rsid w:val="004F1997"/>
    <w:rsid w:val="004F29F4"/>
    <w:rsid w:val="004F3182"/>
    <w:rsid w:val="004F6E01"/>
    <w:rsid w:val="004F7F82"/>
    <w:rsid w:val="005013F1"/>
    <w:rsid w:val="00501444"/>
    <w:rsid w:val="00501584"/>
    <w:rsid w:val="00502260"/>
    <w:rsid w:val="0050268A"/>
    <w:rsid w:val="00503B15"/>
    <w:rsid w:val="00504973"/>
    <w:rsid w:val="00504C7B"/>
    <w:rsid w:val="00505312"/>
    <w:rsid w:val="005059D2"/>
    <w:rsid w:val="0050616E"/>
    <w:rsid w:val="00506CC0"/>
    <w:rsid w:val="00506ECD"/>
    <w:rsid w:val="00507647"/>
    <w:rsid w:val="00511074"/>
    <w:rsid w:val="00511621"/>
    <w:rsid w:val="0051172E"/>
    <w:rsid w:val="00513955"/>
    <w:rsid w:val="00515D5E"/>
    <w:rsid w:val="00516F1D"/>
    <w:rsid w:val="00517E01"/>
    <w:rsid w:val="00522204"/>
    <w:rsid w:val="00522D0C"/>
    <w:rsid w:val="00522E10"/>
    <w:rsid w:val="0052325D"/>
    <w:rsid w:val="00523303"/>
    <w:rsid w:val="00530745"/>
    <w:rsid w:val="0053116C"/>
    <w:rsid w:val="00531386"/>
    <w:rsid w:val="005323AE"/>
    <w:rsid w:val="00532641"/>
    <w:rsid w:val="00533B95"/>
    <w:rsid w:val="005418D2"/>
    <w:rsid w:val="00542D79"/>
    <w:rsid w:val="0054429C"/>
    <w:rsid w:val="00544A41"/>
    <w:rsid w:val="005450CA"/>
    <w:rsid w:val="00546CE6"/>
    <w:rsid w:val="005513B8"/>
    <w:rsid w:val="00551AEB"/>
    <w:rsid w:val="00551BDA"/>
    <w:rsid w:val="00551F74"/>
    <w:rsid w:val="00552656"/>
    <w:rsid w:val="00552DC1"/>
    <w:rsid w:val="00553361"/>
    <w:rsid w:val="005548F3"/>
    <w:rsid w:val="0055799F"/>
    <w:rsid w:val="005579D6"/>
    <w:rsid w:val="00561DE1"/>
    <w:rsid w:val="005625F6"/>
    <w:rsid w:val="00562AAE"/>
    <w:rsid w:val="00562C1E"/>
    <w:rsid w:val="00563157"/>
    <w:rsid w:val="00563583"/>
    <w:rsid w:val="00564449"/>
    <w:rsid w:val="00565459"/>
    <w:rsid w:val="005655C6"/>
    <w:rsid w:val="005664F8"/>
    <w:rsid w:val="005672BD"/>
    <w:rsid w:val="00567AB5"/>
    <w:rsid w:val="00571335"/>
    <w:rsid w:val="00572C80"/>
    <w:rsid w:val="00575B59"/>
    <w:rsid w:val="00575DE2"/>
    <w:rsid w:val="005806C9"/>
    <w:rsid w:val="00580AD3"/>
    <w:rsid w:val="00583EC7"/>
    <w:rsid w:val="005851D2"/>
    <w:rsid w:val="005854E1"/>
    <w:rsid w:val="00585A48"/>
    <w:rsid w:val="00585F71"/>
    <w:rsid w:val="0058705D"/>
    <w:rsid w:val="00590DA1"/>
    <w:rsid w:val="00591208"/>
    <w:rsid w:val="005912E3"/>
    <w:rsid w:val="0059583D"/>
    <w:rsid w:val="00595EF5"/>
    <w:rsid w:val="005A0799"/>
    <w:rsid w:val="005A1C8D"/>
    <w:rsid w:val="005A261D"/>
    <w:rsid w:val="005A264C"/>
    <w:rsid w:val="005A2D0C"/>
    <w:rsid w:val="005A3322"/>
    <w:rsid w:val="005A3532"/>
    <w:rsid w:val="005A45C0"/>
    <w:rsid w:val="005A638E"/>
    <w:rsid w:val="005A63A4"/>
    <w:rsid w:val="005A6CAA"/>
    <w:rsid w:val="005A77F7"/>
    <w:rsid w:val="005B00D6"/>
    <w:rsid w:val="005B0B23"/>
    <w:rsid w:val="005B1B44"/>
    <w:rsid w:val="005B3F4B"/>
    <w:rsid w:val="005B5A4B"/>
    <w:rsid w:val="005B63A4"/>
    <w:rsid w:val="005B6880"/>
    <w:rsid w:val="005B72CD"/>
    <w:rsid w:val="005C113C"/>
    <w:rsid w:val="005D0F53"/>
    <w:rsid w:val="005D3537"/>
    <w:rsid w:val="005D6DDA"/>
    <w:rsid w:val="005E13AB"/>
    <w:rsid w:val="005E2115"/>
    <w:rsid w:val="005E3A75"/>
    <w:rsid w:val="005E4855"/>
    <w:rsid w:val="005E4AA8"/>
    <w:rsid w:val="005E631B"/>
    <w:rsid w:val="005F21FB"/>
    <w:rsid w:val="005F29EA"/>
    <w:rsid w:val="005F3CCC"/>
    <w:rsid w:val="005F47B2"/>
    <w:rsid w:val="005F5EB2"/>
    <w:rsid w:val="005F67F7"/>
    <w:rsid w:val="005F7519"/>
    <w:rsid w:val="005F7FB4"/>
    <w:rsid w:val="00601087"/>
    <w:rsid w:val="00601941"/>
    <w:rsid w:val="00603EB7"/>
    <w:rsid w:val="00604990"/>
    <w:rsid w:val="0060779E"/>
    <w:rsid w:val="00610597"/>
    <w:rsid w:val="006108B9"/>
    <w:rsid w:val="00612FF4"/>
    <w:rsid w:val="006133C5"/>
    <w:rsid w:val="0061562D"/>
    <w:rsid w:val="0062004F"/>
    <w:rsid w:val="00625DA6"/>
    <w:rsid w:val="00626CAD"/>
    <w:rsid w:val="00630236"/>
    <w:rsid w:val="006309C4"/>
    <w:rsid w:val="00631C11"/>
    <w:rsid w:val="00635AC0"/>
    <w:rsid w:val="0064121F"/>
    <w:rsid w:val="00643F0E"/>
    <w:rsid w:val="00645A03"/>
    <w:rsid w:val="00647107"/>
    <w:rsid w:val="00651525"/>
    <w:rsid w:val="006531FE"/>
    <w:rsid w:val="00654B55"/>
    <w:rsid w:val="00655874"/>
    <w:rsid w:val="00655D12"/>
    <w:rsid w:val="0065635B"/>
    <w:rsid w:val="0066029D"/>
    <w:rsid w:val="006645C3"/>
    <w:rsid w:val="00664C8C"/>
    <w:rsid w:val="006673AA"/>
    <w:rsid w:val="00671961"/>
    <w:rsid w:val="00672731"/>
    <w:rsid w:val="0067351F"/>
    <w:rsid w:val="00676B60"/>
    <w:rsid w:val="0067766B"/>
    <w:rsid w:val="00680139"/>
    <w:rsid w:val="00680BFB"/>
    <w:rsid w:val="00681822"/>
    <w:rsid w:val="00682F29"/>
    <w:rsid w:val="00683236"/>
    <w:rsid w:val="006845A3"/>
    <w:rsid w:val="006857FA"/>
    <w:rsid w:val="006859F4"/>
    <w:rsid w:val="006874A2"/>
    <w:rsid w:val="00690118"/>
    <w:rsid w:val="00690357"/>
    <w:rsid w:val="0069144B"/>
    <w:rsid w:val="006928EE"/>
    <w:rsid w:val="006962F6"/>
    <w:rsid w:val="00696326"/>
    <w:rsid w:val="00697EC7"/>
    <w:rsid w:val="006A111A"/>
    <w:rsid w:val="006A21F1"/>
    <w:rsid w:val="006A2A29"/>
    <w:rsid w:val="006A5C8F"/>
    <w:rsid w:val="006A63B0"/>
    <w:rsid w:val="006B1059"/>
    <w:rsid w:val="006B17BA"/>
    <w:rsid w:val="006B2F60"/>
    <w:rsid w:val="006B3A4D"/>
    <w:rsid w:val="006B3F2E"/>
    <w:rsid w:val="006C12E4"/>
    <w:rsid w:val="006C288F"/>
    <w:rsid w:val="006C2BC2"/>
    <w:rsid w:val="006C3465"/>
    <w:rsid w:val="006C36CC"/>
    <w:rsid w:val="006C4A48"/>
    <w:rsid w:val="006C4B54"/>
    <w:rsid w:val="006C604B"/>
    <w:rsid w:val="006C66F5"/>
    <w:rsid w:val="006C7F42"/>
    <w:rsid w:val="006D0B57"/>
    <w:rsid w:val="006D1A45"/>
    <w:rsid w:val="006D2549"/>
    <w:rsid w:val="006D36C8"/>
    <w:rsid w:val="006D3A23"/>
    <w:rsid w:val="006D52CC"/>
    <w:rsid w:val="006D5A4D"/>
    <w:rsid w:val="006D7F09"/>
    <w:rsid w:val="006E23C7"/>
    <w:rsid w:val="006E2678"/>
    <w:rsid w:val="006E3C39"/>
    <w:rsid w:val="006E409D"/>
    <w:rsid w:val="006E448A"/>
    <w:rsid w:val="006E4D43"/>
    <w:rsid w:val="006E50D6"/>
    <w:rsid w:val="006E732E"/>
    <w:rsid w:val="006F0A97"/>
    <w:rsid w:val="006F1DC4"/>
    <w:rsid w:val="006F73D4"/>
    <w:rsid w:val="0070372C"/>
    <w:rsid w:val="00704227"/>
    <w:rsid w:val="007044E4"/>
    <w:rsid w:val="00705B0B"/>
    <w:rsid w:val="00707454"/>
    <w:rsid w:val="00710C96"/>
    <w:rsid w:val="00710E03"/>
    <w:rsid w:val="00711592"/>
    <w:rsid w:val="00712390"/>
    <w:rsid w:val="0071372A"/>
    <w:rsid w:val="0071382F"/>
    <w:rsid w:val="00714A8B"/>
    <w:rsid w:val="007150A9"/>
    <w:rsid w:val="00715919"/>
    <w:rsid w:val="00717BF1"/>
    <w:rsid w:val="00723830"/>
    <w:rsid w:val="00723FA0"/>
    <w:rsid w:val="00727C7A"/>
    <w:rsid w:val="007318EE"/>
    <w:rsid w:val="00731AD6"/>
    <w:rsid w:val="007344E8"/>
    <w:rsid w:val="007354BC"/>
    <w:rsid w:val="00736808"/>
    <w:rsid w:val="0073780F"/>
    <w:rsid w:val="007405A7"/>
    <w:rsid w:val="00740F27"/>
    <w:rsid w:val="00741DC6"/>
    <w:rsid w:val="007420A6"/>
    <w:rsid w:val="00743E77"/>
    <w:rsid w:val="00743EDE"/>
    <w:rsid w:val="0075291B"/>
    <w:rsid w:val="00753426"/>
    <w:rsid w:val="0075403E"/>
    <w:rsid w:val="007545D7"/>
    <w:rsid w:val="00754A86"/>
    <w:rsid w:val="00755F7F"/>
    <w:rsid w:val="0075633B"/>
    <w:rsid w:val="00756847"/>
    <w:rsid w:val="00756925"/>
    <w:rsid w:val="0075733D"/>
    <w:rsid w:val="00760DE3"/>
    <w:rsid w:val="00761264"/>
    <w:rsid w:val="00761479"/>
    <w:rsid w:val="00761A30"/>
    <w:rsid w:val="00762A6E"/>
    <w:rsid w:val="00766CD7"/>
    <w:rsid w:val="00770121"/>
    <w:rsid w:val="007711A9"/>
    <w:rsid w:val="007731F8"/>
    <w:rsid w:val="00775675"/>
    <w:rsid w:val="007756AB"/>
    <w:rsid w:val="00776CB1"/>
    <w:rsid w:val="00782CDC"/>
    <w:rsid w:val="00784212"/>
    <w:rsid w:val="00786BD2"/>
    <w:rsid w:val="00787D87"/>
    <w:rsid w:val="007904AD"/>
    <w:rsid w:val="00795590"/>
    <w:rsid w:val="007958FA"/>
    <w:rsid w:val="007A0216"/>
    <w:rsid w:val="007A229F"/>
    <w:rsid w:val="007A296F"/>
    <w:rsid w:val="007A2A1C"/>
    <w:rsid w:val="007A35B0"/>
    <w:rsid w:val="007A77C7"/>
    <w:rsid w:val="007A7DD4"/>
    <w:rsid w:val="007B2020"/>
    <w:rsid w:val="007B3611"/>
    <w:rsid w:val="007B3A41"/>
    <w:rsid w:val="007B40A6"/>
    <w:rsid w:val="007B59FA"/>
    <w:rsid w:val="007B5CE6"/>
    <w:rsid w:val="007B5F08"/>
    <w:rsid w:val="007C03E9"/>
    <w:rsid w:val="007C08C6"/>
    <w:rsid w:val="007C0F4A"/>
    <w:rsid w:val="007C265E"/>
    <w:rsid w:val="007C2EB4"/>
    <w:rsid w:val="007C5BD9"/>
    <w:rsid w:val="007C6E45"/>
    <w:rsid w:val="007D47AB"/>
    <w:rsid w:val="007D5EA2"/>
    <w:rsid w:val="007D7683"/>
    <w:rsid w:val="007E02CB"/>
    <w:rsid w:val="007E0ADB"/>
    <w:rsid w:val="007E1698"/>
    <w:rsid w:val="007E2631"/>
    <w:rsid w:val="007E7300"/>
    <w:rsid w:val="007E7583"/>
    <w:rsid w:val="007F2710"/>
    <w:rsid w:val="007F27E7"/>
    <w:rsid w:val="007F3B8D"/>
    <w:rsid w:val="007F3F0B"/>
    <w:rsid w:val="007F5A04"/>
    <w:rsid w:val="007F5BDE"/>
    <w:rsid w:val="007F6032"/>
    <w:rsid w:val="007F7EC3"/>
    <w:rsid w:val="00802AAC"/>
    <w:rsid w:val="00803218"/>
    <w:rsid w:val="008048E1"/>
    <w:rsid w:val="0081259A"/>
    <w:rsid w:val="00813D27"/>
    <w:rsid w:val="0081476D"/>
    <w:rsid w:val="0081593D"/>
    <w:rsid w:val="008166FA"/>
    <w:rsid w:val="00816CA2"/>
    <w:rsid w:val="00817B49"/>
    <w:rsid w:val="00820683"/>
    <w:rsid w:val="00820B92"/>
    <w:rsid w:val="0082102B"/>
    <w:rsid w:val="008224D7"/>
    <w:rsid w:val="00822575"/>
    <w:rsid w:val="00822689"/>
    <w:rsid w:val="008247FD"/>
    <w:rsid w:val="0082694E"/>
    <w:rsid w:val="00830B43"/>
    <w:rsid w:val="008313BF"/>
    <w:rsid w:val="00831AD4"/>
    <w:rsid w:val="00832526"/>
    <w:rsid w:val="00835188"/>
    <w:rsid w:val="00835B95"/>
    <w:rsid w:val="0083799C"/>
    <w:rsid w:val="0084253F"/>
    <w:rsid w:val="0084334B"/>
    <w:rsid w:val="00850019"/>
    <w:rsid w:val="00851823"/>
    <w:rsid w:val="0085232D"/>
    <w:rsid w:val="00853263"/>
    <w:rsid w:val="00853E38"/>
    <w:rsid w:val="008557D8"/>
    <w:rsid w:val="00856D9A"/>
    <w:rsid w:val="008575BE"/>
    <w:rsid w:val="00857BCB"/>
    <w:rsid w:val="0086029C"/>
    <w:rsid w:val="00860F44"/>
    <w:rsid w:val="00860F59"/>
    <w:rsid w:val="00863484"/>
    <w:rsid w:val="008644B2"/>
    <w:rsid w:val="00865166"/>
    <w:rsid w:val="00865E27"/>
    <w:rsid w:val="008661D9"/>
    <w:rsid w:val="00866F9F"/>
    <w:rsid w:val="00867E64"/>
    <w:rsid w:val="008725D3"/>
    <w:rsid w:val="008726B2"/>
    <w:rsid w:val="008732A9"/>
    <w:rsid w:val="00873787"/>
    <w:rsid w:val="008740B8"/>
    <w:rsid w:val="00874A01"/>
    <w:rsid w:val="00877A1A"/>
    <w:rsid w:val="008805C7"/>
    <w:rsid w:val="00881831"/>
    <w:rsid w:val="00883086"/>
    <w:rsid w:val="00883492"/>
    <w:rsid w:val="00883F49"/>
    <w:rsid w:val="00885B23"/>
    <w:rsid w:val="008867FB"/>
    <w:rsid w:val="008915BE"/>
    <w:rsid w:val="008918DE"/>
    <w:rsid w:val="00892576"/>
    <w:rsid w:val="00892756"/>
    <w:rsid w:val="008927BA"/>
    <w:rsid w:val="008948B6"/>
    <w:rsid w:val="0089557B"/>
    <w:rsid w:val="00895D67"/>
    <w:rsid w:val="00896FAF"/>
    <w:rsid w:val="00897081"/>
    <w:rsid w:val="008977E3"/>
    <w:rsid w:val="00897F72"/>
    <w:rsid w:val="008A0F9A"/>
    <w:rsid w:val="008A14A8"/>
    <w:rsid w:val="008A1593"/>
    <w:rsid w:val="008A6909"/>
    <w:rsid w:val="008B2023"/>
    <w:rsid w:val="008B4ADF"/>
    <w:rsid w:val="008B4E6C"/>
    <w:rsid w:val="008B66FD"/>
    <w:rsid w:val="008B6FE6"/>
    <w:rsid w:val="008C00C3"/>
    <w:rsid w:val="008C0987"/>
    <w:rsid w:val="008C205B"/>
    <w:rsid w:val="008C25A6"/>
    <w:rsid w:val="008C5644"/>
    <w:rsid w:val="008C7C05"/>
    <w:rsid w:val="008D2B19"/>
    <w:rsid w:val="008D4526"/>
    <w:rsid w:val="008D6B13"/>
    <w:rsid w:val="008E134F"/>
    <w:rsid w:val="008E27F2"/>
    <w:rsid w:val="008E4810"/>
    <w:rsid w:val="008E51F1"/>
    <w:rsid w:val="008E5C9B"/>
    <w:rsid w:val="008E703E"/>
    <w:rsid w:val="008F0150"/>
    <w:rsid w:val="008F4E12"/>
    <w:rsid w:val="008F4EBA"/>
    <w:rsid w:val="008F6860"/>
    <w:rsid w:val="008F7613"/>
    <w:rsid w:val="009014EA"/>
    <w:rsid w:val="00902A59"/>
    <w:rsid w:val="00902FF4"/>
    <w:rsid w:val="0090355F"/>
    <w:rsid w:val="00904113"/>
    <w:rsid w:val="00904B95"/>
    <w:rsid w:val="0090595F"/>
    <w:rsid w:val="00907A8F"/>
    <w:rsid w:val="00910508"/>
    <w:rsid w:val="00910BDE"/>
    <w:rsid w:val="00911796"/>
    <w:rsid w:val="00912F34"/>
    <w:rsid w:val="009130B7"/>
    <w:rsid w:val="009130F8"/>
    <w:rsid w:val="00914F34"/>
    <w:rsid w:val="0091558D"/>
    <w:rsid w:val="00916FF1"/>
    <w:rsid w:val="00917771"/>
    <w:rsid w:val="0092003E"/>
    <w:rsid w:val="00922EDE"/>
    <w:rsid w:val="00923ABC"/>
    <w:rsid w:val="009322FC"/>
    <w:rsid w:val="0093321A"/>
    <w:rsid w:val="009353CB"/>
    <w:rsid w:val="00935FE7"/>
    <w:rsid w:val="00936667"/>
    <w:rsid w:val="00940798"/>
    <w:rsid w:val="00940B64"/>
    <w:rsid w:val="00940E77"/>
    <w:rsid w:val="00940FF1"/>
    <w:rsid w:val="00943FB9"/>
    <w:rsid w:val="0094420F"/>
    <w:rsid w:val="00947838"/>
    <w:rsid w:val="009509B4"/>
    <w:rsid w:val="00950FDF"/>
    <w:rsid w:val="00954F57"/>
    <w:rsid w:val="00956521"/>
    <w:rsid w:val="00956D10"/>
    <w:rsid w:val="00957069"/>
    <w:rsid w:val="00957EB4"/>
    <w:rsid w:val="009620C5"/>
    <w:rsid w:val="00966133"/>
    <w:rsid w:val="00966B91"/>
    <w:rsid w:val="009704CB"/>
    <w:rsid w:val="009717A1"/>
    <w:rsid w:val="00975927"/>
    <w:rsid w:val="009768B6"/>
    <w:rsid w:val="009772F6"/>
    <w:rsid w:val="00980CCD"/>
    <w:rsid w:val="00982BB3"/>
    <w:rsid w:val="00986FEE"/>
    <w:rsid w:val="0099030A"/>
    <w:rsid w:val="009907F5"/>
    <w:rsid w:val="00991659"/>
    <w:rsid w:val="00993AF3"/>
    <w:rsid w:val="00993F30"/>
    <w:rsid w:val="00994502"/>
    <w:rsid w:val="009949A5"/>
    <w:rsid w:val="0099513C"/>
    <w:rsid w:val="00996F93"/>
    <w:rsid w:val="00997BBE"/>
    <w:rsid w:val="009A10E5"/>
    <w:rsid w:val="009A20D8"/>
    <w:rsid w:val="009A4DE5"/>
    <w:rsid w:val="009A6E03"/>
    <w:rsid w:val="009A7736"/>
    <w:rsid w:val="009A7CD7"/>
    <w:rsid w:val="009B41A9"/>
    <w:rsid w:val="009B591E"/>
    <w:rsid w:val="009B5BBF"/>
    <w:rsid w:val="009B6741"/>
    <w:rsid w:val="009C10D8"/>
    <w:rsid w:val="009C3C13"/>
    <w:rsid w:val="009C4E88"/>
    <w:rsid w:val="009C5870"/>
    <w:rsid w:val="009C6414"/>
    <w:rsid w:val="009C6D31"/>
    <w:rsid w:val="009C78DB"/>
    <w:rsid w:val="009D1997"/>
    <w:rsid w:val="009D3D38"/>
    <w:rsid w:val="009D479F"/>
    <w:rsid w:val="009D5F02"/>
    <w:rsid w:val="009D68F4"/>
    <w:rsid w:val="009E12A5"/>
    <w:rsid w:val="009E2AE2"/>
    <w:rsid w:val="009E437A"/>
    <w:rsid w:val="009E5022"/>
    <w:rsid w:val="009E5FC4"/>
    <w:rsid w:val="009E60A5"/>
    <w:rsid w:val="009F0087"/>
    <w:rsid w:val="009F2458"/>
    <w:rsid w:val="009F2CED"/>
    <w:rsid w:val="009F4CC9"/>
    <w:rsid w:val="009F68D1"/>
    <w:rsid w:val="009F69D2"/>
    <w:rsid w:val="009F6EB7"/>
    <w:rsid w:val="009F7414"/>
    <w:rsid w:val="00A01DAC"/>
    <w:rsid w:val="00A02C71"/>
    <w:rsid w:val="00A03546"/>
    <w:rsid w:val="00A04416"/>
    <w:rsid w:val="00A06339"/>
    <w:rsid w:val="00A074D9"/>
    <w:rsid w:val="00A1083F"/>
    <w:rsid w:val="00A10A5A"/>
    <w:rsid w:val="00A1119D"/>
    <w:rsid w:val="00A11539"/>
    <w:rsid w:val="00A11F3E"/>
    <w:rsid w:val="00A124BB"/>
    <w:rsid w:val="00A13956"/>
    <w:rsid w:val="00A14CF5"/>
    <w:rsid w:val="00A14FB6"/>
    <w:rsid w:val="00A20E1C"/>
    <w:rsid w:val="00A211D6"/>
    <w:rsid w:val="00A212CC"/>
    <w:rsid w:val="00A21771"/>
    <w:rsid w:val="00A21A54"/>
    <w:rsid w:val="00A22263"/>
    <w:rsid w:val="00A22E51"/>
    <w:rsid w:val="00A23CA5"/>
    <w:rsid w:val="00A3118C"/>
    <w:rsid w:val="00A34127"/>
    <w:rsid w:val="00A36942"/>
    <w:rsid w:val="00A37566"/>
    <w:rsid w:val="00A4338B"/>
    <w:rsid w:val="00A44187"/>
    <w:rsid w:val="00A44576"/>
    <w:rsid w:val="00A45A1F"/>
    <w:rsid w:val="00A510FE"/>
    <w:rsid w:val="00A532F4"/>
    <w:rsid w:val="00A53D24"/>
    <w:rsid w:val="00A57865"/>
    <w:rsid w:val="00A61444"/>
    <w:rsid w:val="00A618E4"/>
    <w:rsid w:val="00A626EF"/>
    <w:rsid w:val="00A6330E"/>
    <w:rsid w:val="00A65A32"/>
    <w:rsid w:val="00A67404"/>
    <w:rsid w:val="00A679E9"/>
    <w:rsid w:val="00A72F21"/>
    <w:rsid w:val="00A757D0"/>
    <w:rsid w:val="00A83EEB"/>
    <w:rsid w:val="00A84D4E"/>
    <w:rsid w:val="00A86440"/>
    <w:rsid w:val="00A878B7"/>
    <w:rsid w:val="00A918FD"/>
    <w:rsid w:val="00A924E6"/>
    <w:rsid w:val="00A92F85"/>
    <w:rsid w:val="00A93A84"/>
    <w:rsid w:val="00A948C6"/>
    <w:rsid w:val="00A977DE"/>
    <w:rsid w:val="00AA005B"/>
    <w:rsid w:val="00AA06AD"/>
    <w:rsid w:val="00AA1C9B"/>
    <w:rsid w:val="00AA1DA5"/>
    <w:rsid w:val="00AA307A"/>
    <w:rsid w:val="00AA4323"/>
    <w:rsid w:val="00AA5169"/>
    <w:rsid w:val="00AA6FC6"/>
    <w:rsid w:val="00AB0810"/>
    <w:rsid w:val="00AB51DA"/>
    <w:rsid w:val="00AB5920"/>
    <w:rsid w:val="00AB6AD8"/>
    <w:rsid w:val="00AC0E15"/>
    <w:rsid w:val="00AC58C6"/>
    <w:rsid w:val="00AC61AF"/>
    <w:rsid w:val="00AC61E0"/>
    <w:rsid w:val="00AC6359"/>
    <w:rsid w:val="00AC6773"/>
    <w:rsid w:val="00AC67BA"/>
    <w:rsid w:val="00AC7313"/>
    <w:rsid w:val="00AC7C54"/>
    <w:rsid w:val="00AC7F37"/>
    <w:rsid w:val="00AD000E"/>
    <w:rsid w:val="00AD3375"/>
    <w:rsid w:val="00AD3978"/>
    <w:rsid w:val="00AD47BC"/>
    <w:rsid w:val="00AE1100"/>
    <w:rsid w:val="00AE1E15"/>
    <w:rsid w:val="00AE281F"/>
    <w:rsid w:val="00AE4548"/>
    <w:rsid w:val="00AE60EC"/>
    <w:rsid w:val="00AE6E9E"/>
    <w:rsid w:val="00AE7F52"/>
    <w:rsid w:val="00AF187E"/>
    <w:rsid w:val="00AF1E90"/>
    <w:rsid w:val="00AF1F51"/>
    <w:rsid w:val="00AF380A"/>
    <w:rsid w:val="00AF564D"/>
    <w:rsid w:val="00B0198F"/>
    <w:rsid w:val="00B10451"/>
    <w:rsid w:val="00B104D2"/>
    <w:rsid w:val="00B10694"/>
    <w:rsid w:val="00B118BA"/>
    <w:rsid w:val="00B1398A"/>
    <w:rsid w:val="00B14659"/>
    <w:rsid w:val="00B17232"/>
    <w:rsid w:val="00B17F80"/>
    <w:rsid w:val="00B2000A"/>
    <w:rsid w:val="00B20A25"/>
    <w:rsid w:val="00B2241B"/>
    <w:rsid w:val="00B22F9B"/>
    <w:rsid w:val="00B263C2"/>
    <w:rsid w:val="00B277BA"/>
    <w:rsid w:val="00B304F3"/>
    <w:rsid w:val="00B3083B"/>
    <w:rsid w:val="00B33A12"/>
    <w:rsid w:val="00B35B0F"/>
    <w:rsid w:val="00B35E3A"/>
    <w:rsid w:val="00B360E4"/>
    <w:rsid w:val="00B372B1"/>
    <w:rsid w:val="00B408EC"/>
    <w:rsid w:val="00B41B1C"/>
    <w:rsid w:val="00B440DE"/>
    <w:rsid w:val="00B44C92"/>
    <w:rsid w:val="00B44D3F"/>
    <w:rsid w:val="00B450F5"/>
    <w:rsid w:val="00B45AC9"/>
    <w:rsid w:val="00B46BF3"/>
    <w:rsid w:val="00B5172E"/>
    <w:rsid w:val="00B53A58"/>
    <w:rsid w:val="00B5443F"/>
    <w:rsid w:val="00B5486D"/>
    <w:rsid w:val="00B61D79"/>
    <w:rsid w:val="00B6356C"/>
    <w:rsid w:val="00B63DBA"/>
    <w:rsid w:val="00B6426C"/>
    <w:rsid w:val="00B64ECF"/>
    <w:rsid w:val="00B65239"/>
    <w:rsid w:val="00B654F3"/>
    <w:rsid w:val="00B65931"/>
    <w:rsid w:val="00B659E5"/>
    <w:rsid w:val="00B66880"/>
    <w:rsid w:val="00B66F34"/>
    <w:rsid w:val="00B67CB8"/>
    <w:rsid w:val="00B70D02"/>
    <w:rsid w:val="00B71BDE"/>
    <w:rsid w:val="00B72C3A"/>
    <w:rsid w:val="00B74310"/>
    <w:rsid w:val="00B75601"/>
    <w:rsid w:val="00B75ED0"/>
    <w:rsid w:val="00B77504"/>
    <w:rsid w:val="00B81007"/>
    <w:rsid w:val="00B81BEC"/>
    <w:rsid w:val="00B844FC"/>
    <w:rsid w:val="00B84628"/>
    <w:rsid w:val="00B86417"/>
    <w:rsid w:val="00B87D52"/>
    <w:rsid w:val="00B91BB6"/>
    <w:rsid w:val="00B928E4"/>
    <w:rsid w:val="00B92BA4"/>
    <w:rsid w:val="00B93353"/>
    <w:rsid w:val="00B9371A"/>
    <w:rsid w:val="00B93CCB"/>
    <w:rsid w:val="00B94302"/>
    <w:rsid w:val="00B94B4E"/>
    <w:rsid w:val="00B96DD1"/>
    <w:rsid w:val="00B97DB8"/>
    <w:rsid w:val="00BA0C95"/>
    <w:rsid w:val="00BA4F0B"/>
    <w:rsid w:val="00BB2AA5"/>
    <w:rsid w:val="00BB34EE"/>
    <w:rsid w:val="00BB3D84"/>
    <w:rsid w:val="00BB466D"/>
    <w:rsid w:val="00BB491C"/>
    <w:rsid w:val="00BB57AF"/>
    <w:rsid w:val="00BB6617"/>
    <w:rsid w:val="00BB6FA1"/>
    <w:rsid w:val="00BB7E45"/>
    <w:rsid w:val="00BC0F5C"/>
    <w:rsid w:val="00BC1D56"/>
    <w:rsid w:val="00BC512F"/>
    <w:rsid w:val="00BC7E95"/>
    <w:rsid w:val="00BD30F6"/>
    <w:rsid w:val="00BD5CF1"/>
    <w:rsid w:val="00BD6B44"/>
    <w:rsid w:val="00BD7CAD"/>
    <w:rsid w:val="00BE12E0"/>
    <w:rsid w:val="00BE29B2"/>
    <w:rsid w:val="00BE2ADC"/>
    <w:rsid w:val="00BE329C"/>
    <w:rsid w:val="00BE54A1"/>
    <w:rsid w:val="00BE6227"/>
    <w:rsid w:val="00BE70BE"/>
    <w:rsid w:val="00BF0670"/>
    <w:rsid w:val="00BF0E73"/>
    <w:rsid w:val="00BF382C"/>
    <w:rsid w:val="00BF3835"/>
    <w:rsid w:val="00BF3D99"/>
    <w:rsid w:val="00BF5B4C"/>
    <w:rsid w:val="00BF626F"/>
    <w:rsid w:val="00BF6435"/>
    <w:rsid w:val="00BF7CDA"/>
    <w:rsid w:val="00BF7E8B"/>
    <w:rsid w:val="00C00DFB"/>
    <w:rsid w:val="00C010D2"/>
    <w:rsid w:val="00C05C2D"/>
    <w:rsid w:val="00C06B62"/>
    <w:rsid w:val="00C107A7"/>
    <w:rsid w:val="00C13F0B"/>
    <w:rsid w:val="00C151B8"/>
    <w:rsid w:val="00C15688"/>
    <w:rsid w:val="00C1799E"/>
    <w:rsid w:val="00C17B80"/>
    <w:rsid w:val="00C20AD9"/>
    <w:rsid w:val="00C225DC"/>
    <w:rsid w:val="00C22E61"/>
    <w:rsid w:val="00C23497"/>
    <w:rsid w:val="00C23901"/>
    <w:rsid w:val="00C2591C"/>
    <w:rsid w:val="00C26C4E"/>
    <w:rsid w:val="00C32583"/>
    <w:rsid w:val="00C32C5A"/>
    <w:rsid w:val="00C347B6"/>
    <w:rsid w:val="00C350D6"/>
    <w:rsid w:val="00C350DA"/>
    <w:rsid w:val="00C3628A"/>
    <w:rsid w:val="00C37109"/>
    <w:rsid w:val="00C417CB"/>
    <w:rsid w:val="00C41810"/>
    <w:rsid w:val="00C4218A"/>
    <w:rsid w:val="00C436B3"/>
    <w:rsid w:val="00C441B6"/>
    <w:rsid w:val="00C457B3"/>
    <w:rsid w:val="00C46C11"/>
    <w:rsid w:val="00C46C78"/>
    <w:rsid w:val="00C52D26"/>
    <w:rsid w:val="00C54C72"/>
    <w:rsid w:val="00C558BB"/>
    <w:rsid w:val="00C57752"/>
    <w:rsid w:val="00C604E1"/>
    <w:rsid w:val="00C60C04"/>
    <w:rsid w:val="00C616B0"/>
    <w:rsid w:val="00C63849"/>
    <w:rsid w:val="00C646D9"/>
    <w:rsid w:val="00C65019"/>
    <w:rsid w:val="00C650FD"/>
    <w:rsid w:val="00C6692D"/>
    <w:rsid w:val="00C7004D"/>
    <w:rsid w:val="00C70357"/>
    <w:rsid w:val="00C7232F"/>
    <w:rsid w:val="00C72794"/>
    <w:rsid w:val="00C73D75"/>
    <w:rsid w:val="00C75946"/>
    <w:rsid w:val="00C76435"/>
    <w:rsid w:val="00C80BA9"/>
    <w:rsid w:val="00C83394"/>
    <w:rsid w:val="00C85522"/>
    <w:rsid w:val="00C924F7"/>
    <w:rsid w:val="00C936DE"/>
    <w:rsid w:val="00C9597C"/>
    <w:rsid w:val="00C97C8F"/>
    <w:rsid w:val="00C97F8A"/>
    <w:rsid w:val="00CA0BD5"/>
    <w:rsid w:val="00CA4E33"/>
    <w:rsid w:val="00CA50A4"/>
    <w:rsid w:val="00CA5982"/>
    <w:rsid w:val="00CA688C"/>
    <w:rsid w:val="00CA6D37"/>
    <w:rsid w:val="00CB11A8"/>
    <w:rsid w:val="00CB14CE"/>
    <w:rsid w:val="00CB1EA4"/>
    <w:rsid w:val="00CB1FEA"/>
    <w:rsid w:val="00CB2675"/>
    <w:rsid w:val="00CB2BFB"/>
    <w:rsid w:val="00CB561C"/>
    <w:rsid w:val="00CB650D"/>
    <w:rsid w:val="00CB65B2"/>
    <w:rsid w:val="00CB6715"/>
    <w:rsid w:val="00CB72AF"/>
    <w:rsid w:val="00CB77B0"/>
    <w:rsid w:val="00CC00CF"/>
    <w:rsid w:val="00CC1F79"/>
    <w:rsid w:val="00CC2040"/>
    <w:rsid w:val="00CC21D3"/>
    <w:rsid w:val="00CD192B"/>
    <w:rsid w:val="00CD1B70"/>
    <w:rsid w:val="00CD3757"/>
    <w:rsid w:val="00CD4A89"/>
    <w:rsid w:val="00CD78A3"/>
    <w:rsid w:val="00CE0F5D"/>
    <w:rsid w:val="00CE19B1"/>
    <w:rsid w:val="00CE24CD"/>
    <w:rsid w:val="00CE35CA"/>
    <w:rsid w:val="00CE381A"/>
    <w:rsid w:val="00CE3DE2"/>
    <w:rsid w:val="00CE43C4"/>
    <w:rsid w:val="00CE5337"/>
    <w:rsid w:val="00CE54DE"/>
    <w:rsid w:val="00CE5FED"/>
    <w:rsid w:val="00CF00FB"/>
    <w:rsid w:val="00CF2A0E"/>
    <w:rsid w:val="00CF4A9B"/>
    <w:rsid w:val="00CF686D"/>
    <w:rsid w:val="00CF7795"/>
    <w:rsid w:val="00D00EFB"/>
    <w:rsid w:val="00D027CC"/>
    <w:rsid w:val="00D02E6E"/>
    <w:rsid w:val="00D03985"/>
    <w:rsid w:val="00D05398"/>
    <w:rsid w:val="00D05BF0"/>
    <w:rsid w:val="00D05E83"/>
    <w:rsid w:val="00D0793C"/>
    <w:rsid w:val="00D07CB2"/>
    <w:rsid w:val="00D1014A"/>
    <w:rsid w:val="00D1278E"/>
    <w:rsid w:val="00D155D3"/>
    <w:rsid w:val="00D15616"/>
    <w:rsid w:val="00D1631D"/>
    <w:rsid w:val="00D16362"/>
    <w:rsid w:val="00D166C3"/>
    <w:rsid w:val="00D179B0"/>
    <w:rsid w:val="00D20A56"/>
    <w:rsid w:val="00D20B4D"/>
    <w:rsid w:val="00D219E6"/>
    <w:rsid w:val="00D22222"/>
    <w:rsid w:val="00D225F8"/>
    <w:rsid w:val="00D227D4"/>
    <w:rsid w:val="00D23815"/>
    <w:rsid w:val="00D2477D"/>
    <w:rsid w:val="00D24E3C"/>
    <w:rsid w:val="00D25300"/>
    <w:rsid w:val="00D2542F"/>
    <w:rsid w:val="00D26040"/>
    <w:rsid w:val="00D26368"/>
    <w:rsid w:val="00D26EC7"/>
    <w:rsid w:val="00D2709C"/>
    <w:rsid w:val="00D271D4"/>
    <w:rsid w:val="00D308CF"/>
    <w:rsid w:val="00D31CE6"/>
    <w:rsid w:val="00D327D7"/>
    <w:rsid w:val="00D32B43"/>
    <w:rsid w:val="00D32CBD"/>
    <w:rsid w:val="00D349DE"/>
    <w:rsid w:val="00D35FD2"/>
    <w:rsid w:val="00D368C4"/>
    <w:rsid w:val="00D378C7"/>
    <w:rsid w:val="00D400B0"/>
    <w:rsid w:val="00D40F85"/>
    <w:rsid w:val="00D432B0"/>
    <w:rsid w:val="00D4340E"/>
    <w:rsid w:val="00D437FA"/>
    <w:rsid w:val="00D438BE"/>
    <w:rsid w:val="00D4552B"/>
    <w:rsid w:val="00D458DD"/>
    <w:rsid w:val="00D45E3B"/>
    <w:rsid w:val="00D4642F"/>
    <w:rsid w:val="00D47EB2"/>
    <w:rsid w:val="00D5110F"/>
    <w:rsid w:val="00D54176"/>
    <w:rsid w:val="00D54F60"/>
    <w:rsid w:val="00D55FB1"/>
    <w:rsid w:val="00D61324"/>
    <w:rsid w:val="00D61849"/>
    <w:rsid w:val="00D65990"/>
    <w:rsid w:val="00D65A20"/>
    <w:rsid w:val="00D66186"/>
    <w:rsid w:val="00D67152"/>
    <w:rsid w:val="00D6742B"/>
    <w:rsid w:val="00D67912"/>
    <w:rsid w:val="00D67F97"/>
    <w:rsid w:val="00D70128"/>
    <w:rsid w:val="00D71739"/>
    <w:rsid w:val="00D74C53"/>
    <w:rsid w:val="00D74CC9"/>
    <w:rsid w:val="00D7502F"/>
    <w:rsid w:val="00D75734"/>
    <w:rsid w:val="00D7680A"/>
    <w:rsid w:val="00D76E5D"/>
    <w:rsid w:val="00D8082F"/>
    <w:rsid w:val="00D816B0"/>
    <w:rsid w:val="00D81BE7"/>
    <w:rsid w:val="00D82239"/>
    <w:rsid w:val="00D83B20"/>
    <w:rsid w:val="00D84B9D"/>
    <w:rsid w:val="00D85BF1"/>
    <w:rsid w:val="00D85D92"/>
    <w:rsid w:val="00D863CB"/>
    <w:rsid w:val="00D9022B"/>
    <w:rsid w:val="00D92F87"/>
    <w:rsid w:val="00D965CC"/>
    <w:rsid w:val="00D971BA"/>
    <w:rsid w:val="00D9744D"/>
    <w:rsid w:val="00D97822"/>
    <w:rsid w:val="00DA1353"/>
    <w:rsid w:val="00DA1658"/>
    <w:rsid w:val="00DA2CC0"/>
    <w:rsid w:val="00DA2EFC"/>
    <w:rsid w:val="00DA7146"/>
    <w:rsid w:val="00DA7AE0"/>
    <w:rsid w:val="00DB37B9"/>
    <w:rsid w:val="00DB3EE0"/>
    <w:rsid w:val="00DB50D9"/>
    <w:rsid w:val="00DC2EE4"/>
    <w:rsid w:val="00DC4D73"/>
    <w:rsid w:val="00DC64BE"/>
    <w:rsid w:val="00DC66D1"/>
    <w:rsid w:val="00DC701F"/>
    <w:rsid w:val="00DC79D1"/>
    <w:rsid w:val="00DD0AC0"/>
    <w:rsid w:val="00DD2FF4"/>
    <w:rsid w:val="00DD30AF"/>
    <w:rsid w:val="00DD341C"/>
    <w:rsid w:val="00DD3A97"/>
    <w:rsid w:val="00DD4B77"/>
    <w:rsid w:val="00DD56C8"/>
    <w:rsid w:val="00DD6D70"/>
    <w:rsid w:val="00DE0B8E"/>
    <w:rsid w:val="00DE27D5"/>
    <w:rsid w:val="00DE3424"/>
    <w:rsid w:val="00DE78DE"/>
    <w:rsid w:val="00DF0963"/>
    <w:rsid w:val="00DF0B25"/>
    <w:rsid w:val="00DF189F"/>
    <w:rsid w:val="00DF3E24"/>
    <w:rsid w:val="00DF56E2"/>
    <w:rsid w:val="00DF68B5"/>
    <w:rsid w:val="00E01139"/>
    <w:rsid w:val="00E01305"/>
    <w:rsid w:val="00E02559"/>
    <w:rsid w:val="00E02FCE"/>
    <w:rsid w:val="00E0487C"/>
    <w:rsid w:val="00E059C2"/>
    <w:rsid w:val="00E05BB3"/>
    <w:rsid w:val="00E11092"/>
    <w:rsid w:val="00E1287B"/>
    <w:rsid w:val="00E14368"/>
    <w:rsid w:val="00E15D9D"/>
    <w:rsid w:val="00E1672C"/>
    <w:rsid w:val="00E168B4"/>
    <w:rsid w:val="00E17D61"/>
    <w:rsid w:val="00E30673"/>
    <w:rsid w:val="00E30CDA"/>
    <w:rsid w:val="00E32659"/>
    <w:rsid w:val="00E337B2"/>
    <w:rsid w:val="00E33A91"/>
    <w:rsid w:val="00E33CB9"/>
    <w:rsid w:val="00E3545E"/>
    <w:rsid w:val="00E358E1"/>
    <w:rsid w:val="00E422CD"/>
    <w:rsid w:val="00E433F8"/>
    <w:rsid w:val="00E45804"/>
    <w:rsid w:val="00E46867"/>
    <w:rsid w:val="00E46CB7"/>
    <w:rsid w:val="00E475D4"/>
    <w:rsid w:val="00E53145"/>
    <w:rsid w:val="00E5361F"/>
    <w:rsid w:val="00E5424A"/>
    <w:rsid w:val="00E542D2"/>
    <w:rsid w:val="00E54540"/>
    <w:rsid w:val="00E5599D"/>
    <w:rsid w:val="00E55EAB"/>
    <w:rsid w:val="00E570EC"/>
    <w:rsid w:val="00E57906"/>
    <w:rsid w:val="00E60F5F"/>
    <w:rsid w:val="00E60F7E"/>
    <w:rsid w:val="00E6131C"/>
    <w:rsid w:val="00E63E03"/>
    <w:rsid w:val="00E643F8"/>
    <w:rsid w:val="00E67E24"/>
    <w:rsid w:val="00E749FC"/>
    <w:rsid w:val="00E80CA9"/>
    <w:rsid w:val="00E80D23"/>
    <w:rsid w:val="00E81A01"/>
    <w:rsid w:val="00E845E2"/>
    <w:rsid w:val="00E87B30"/>
    <w:rsid w:val="00E9103D"/>
    <w:rsid w:val="00E913AF"/>
    <w:rsid w:val="00E92A5B"/>
    <w:rsid w:val="00E94C81"/>
    <w:rsid w:val="00E95001"/>
    <w:rsid w:val="00E97178"/>
    <w:rsid w:val="00EA011A"/>
    <w:rsid w:val="00EA238C"/>
    <w:rsid w:val="00EA3A4C"/>
    <w:rsid w:val="00EA59D9"/>
    <w:rsid w:val="00EA5DB1"/>
    <w:rsid w:val="00EA70D6"/>
    <w:rsid w:val="00EB1C89"/>
    <w:rsid w:val="00EB3240"/>
    <w:rsid w:val="00EB5EB1"/>
    <w:rsid w:val="00EC05D7"/>
    <w:rsid w:val="00EC117E"/>
    <w:rsid w:val="00EC29EE"/>
    <w:rsid w:val="00EC34E6"/>
    <w:rsid w:val="00EC4CC3"/>
    <w:rsid w:val="00EC588B"/>
    <w:rsid w:val="00EC61E9"/>
    <w:rsid w:val="00EC69A1"/>
    <w:rsid w:val="00EC7AB3"/>
    <w:rsid w:val="00ED133B"/>
    <w:rsid w:val="00ED1603"/>
    <w:rsid w:val="00ED379B"/>
    <w:rsid w:val="00ED38C6"/>
    <w:rsid w:val="00ED3C46"/>
    <w:rsid w:val="00ED3F4D"/>
    <w:rsid w:val="00ED4418"/>
    <w:rsid w:val="00ED7284"/>
    <w:rsid w:val="00ED75C9"/>
    <w:rsid w:val="00EE0107"/>
    <w:rsid w:val="00EE1EB0"/>
    <w:rsid w:val="00EE290D"/>
    <w:rsid w:val="00EE2AD4"/>
    <w:rsid w:val="00EE58CE"/>
    <w:rsid w:val="00EE5C33"/>
    <w:rsid w:val="00EE6339"/>
    <w:rsid w:val="00EF18BA"/>
    <w:rsid w:val="00EF22AE"/>
    <w:rsid w:val="00EF4173"/>
    <w:rsid w:val="00EF4C00"/>
    <w:rsid w:val="00EF527E"/>
    <w:rsid w:val="00EF70CD"/>
    <w:rsid w:val="00EF726E"/>
    <w:rsid w:val="00EF733F"/>
    <w:rsid w:val="00F01467"/>
    <w:rsid w:val="00F031B9"/>
    <w:rsid w:val="00F03AF9"/>
    <w:rsid w:val="00F03FC6"/>
    <w:rsid w:val="00F044F9"/>
    <w:rsid w:val="00F04DA3"/>
    <w:rsid w:val="00F0651A"/>
    <w:rsid w:val="00F07C35"/>
    <w:rsid w:val="00F11007"/>
    <w:rsid w:val="00F119A9"/>
    <w:rsid w:val="00F12828"/>
    <w:rsid w:val="00F13268"/>
    <w:rsid w:val="00F1344E"/>
    <w:rsid w:val="00F158A3"/>
    <w:rsid w:val="00F164E0"/>
    <w:rsid w:val="00F2126F"/>
    <w:rsid w:val="00F21305"/>
    <w:rsid w:val="00F21726"/>
    <w:rsid w:val="00F224F5"/>
    <w:rsid w:val="00F23A08"/>
    <w:rsid w:val="00F265F7"/>
    <w:rsid w:val="00F26620"/>
    <w:rsid w:val="00F27678"/>
    <w:rsid w:val="00F27913"/>
    <w:rsid w:val="00F27B41"/>
    <w:rsid w:val="00F321E5"/>
    <w:rsid w:val="00F34A12"/>
    <w:rsid w:val="00F362E7"/>
    <w:rsid w:val="00F36B12"/>
    <w:rsid w:val="00F372FC"/>
    <w:rsid w:val="00F41234"/>
    <w:rsid w:val="00F41E2D"/>
    <w:rsid w:val="00F429FC"/>
    <w:rsid w:val="00F43474"/>
    <w:rsid w:val="00F454FA"/>
    <w:rsid w:val="00F46450"/>
    <w:rsid w:val="00F4662C"/>
    <w:rsid w:val="00F4751B"/>
    <w:rsid w:val="00F50CDF"/>
    <w:rsid w:val="00F51353"/>
    <w:rsid w:val="00F546C2"/>
    <w:rsid w:val="00F56ADB"/>
    <w:rsid w:val="00F57713"/>
    <w:rsid w:val="00F57E41"/>
    <w:rsid w:val="00F60A0B"/>
    <w:rsid w:val="00F60F6B"/>
    <w:rsid w:val="00F61AD2"/>
    <w:rsid w:val="00F63590"/>
    <w:rsid w:val="00F6393B"/>
    <w:rsid w:val="00F63EF9"/>
    <w:rsid w:val="00F6420F"/>
    <w:rsid w:val="00F65FC8"/>
    <w:rsid w:val="00F677EA"/>
    <w:rsid w:val="00F7199F"/>
    <w:rsid w:val="00F74D07"/>
    <w:rsid w:val="00F754DE"/>
    <w:rsid w:val="00F766F1"/>
    <w:rsid w:val="00F80D43"/>
    <w:rsid w:val="00F82B2A"/>
    <w:rsid w:val="00F83D38"/>
    <w:rsid w:val="00F83DF9"/>
    <w:rsid w:val="00F84237"/>
    <w:rsid w:val="00F8457C"/>
    <w:rsid w:val="00F85663"/>
    <w:rsid w:val="00F85883"/>
    <w:rsid w:val="00F861EE"/>
    <w:rsid w:val="00F86A26"/>
    <w:rsid w:val="00F86F46"/>
    <w:rsid w:val="00F906F5"/>
    <w:rsid w:val="00F9102E"/>
    <w:rsid w:val="00F9428D"/>
    <w:rsid w:val="00F962DC"/>
    <w:rsid w:val="00F96B1C"/>
    <w:rsid w:val="00F97B19"/>
    <w:rsid w:val="00F97DB3"/>
    <w:rsid w:val="00FA0CF2"/>
    <w:rsid w:val="00FA3121"/>
    <w:rsid w:val="00FA4C63"/>
    <w:rsid w:val="00FA6B2B"/>
    <w:rsid w:val="00FA7A05"/>
    <w:rsid w:val="00FB628E"/>
    <w:rsid w:val="00FB6400"/>
    <w:rsid w:val="00FB7C56"/>
    <w:rsid w:val="00FB7EC7"/>
    <w:rsid w:val="00FC1294"/>
    <w:rsid w:val="00FC2D4B"/>
    <w:rsid w:val="00FC51C1"/>
    <w:rsid w:val="00FD04BB"/>
    <w:rsid w:val="00FD06EE"/>
    <w:rsid w:val="00FD0AF8"/>
    <w:rsid w:val="00FD2C7B"/>
    <w:rsid w:val="00FD2EE6"/>
    <w:rsid w:val="00FD2F99"/>
    <w:rsid w:val="00FD4A74"/>
    <w:rsid w:val="00FD7AFF"/>
    <w:rsid w:val="00FE44E8"/>
    <w:rsid w:val="00FE4F4F"/>
    <w:rsid w:val="00FE5B94"/>
    <w:rsid w:val="00FE7D63"/>
    <w:rsid w:val="00FF159A"/>
    <w:rsid w:val="00FF2D27"/>
    <w:rsid w:val="00FF413E"/>
    <w:rsid w:val="00FF7825"/>
    <w:rsid w:val="010717A9"/>
    <w:rsid w:val="015A3E7F"/>
    <w:rsid w:val="01623771"/>
    <w:rsid w:val="01923392"/>
    <w:rsid w:val="01BB3370"/>
    <w:rsid w:val="020F7B7E"/>
    <w:rsid w:val="028F0B41"/>
    <w:rsid w:val="02A429BD"/>
    <w:rsid w:val="02B01361"/>
    <w:rsid w:val="02B574FE"/>
    <w:rsid w:val="02CD3CC1"/>
    <w:rsid w:val="034033BA"/>
    <w:rsid w:val="034A3564"/>
    <w:rsid w:val="03626296"/>
    <w:rsid w:val="036F2B61"/>
    <w:rsid w:val="038B68F6"/>
    <w:rsid w:val="03C52C3D"/>
    <w:rsid w:val="03D03A1F"/>
    <w:rsid w:val="03D77897"/>
    <w:rsid w:val="040A5D95"/>
    <w:rsid w:val="04511EA2"/>
    <w:rsid w:val="04814D63"/>
    <w:rsid w:val="04C9495C"/>
    <w:rsid w:val="04D356AB"/>
    <w:rsid w:val="04DC744B"/>
    <w:rsid w:val="04DF6E90"/>
    <w:rsid w:val="04EF43C3"/>
    <w:rsid w:val="04F03521"/>
    <w:rsid w:val="04FE7678"/>
    <w:rsid w:val="05080FE1"/>
    <w:rsid w:val="05AC4062"/>
    <w:rsid w:val="06153A1E"/>
    <w:rsid w:val="0668021A"/>
    <w:rsid w:val="066B0980"/>
    <w:rsid w:val="06A72A7B"/>
    <w:rsid w:val="06D3485D"/>
    <w:rsid w:val="06F22DDC"/>
    <w:rsid w:val="074E3AB2"/>
    <w:rsid w:val="087A534E"/>
    <w:rsid w:val="08CF1E16"/>
    <w:rsid w:val="08EB7887"/>
    <w:rsid w:val="09267753"/>
    <w:rsid w:val="092F7C70"/>
    <w:rsid w:val="0936340D"/>
    <w:rsid w:val="09880BAD"/>
    <w:rsid w:val="09A46689"/>
    <w:rsid w:val="0A1E3055"/>
    <w:rsid w:val="0A513DB2"/>
    <w:rsid w:val="0A917CCA"/>
    <w:rsid w:val="0A9E0ABC"/>
    <w:rsid w:val="0AD418FE"/>
    <w:rsid w:val="0B32008D"/>
    <w:rsid w:val="0B9D61FB"/>
    <w:rsid w:val="0BA76FB1"/>
    <w:rsid w:val="0BB31410"/>
    <w:rsid w:val="0BBEEE03"/>
    <w:rsid w:val="0BDA3DD9"/>
    <w:rsid w:val="0C2862F8"/>
    <w:rsid w:val="0C3D48DB"/>
    <w:rsid w:val="0C9C70D3"/>
    <w:rsid w:val="0CA84E57"/>
    <w:rsid w:val="0D3D5EE8"/>
    <w:rsid w:val="0D9E7C4E"/>
    <w:rsid w:val="0E0240B7"/>
    <w:rsid w:val="0E476571"/>
    <w:rsid w:val="0E7A087C"/>
    <w:rsid w:val="0EB30532"/>
    <w:rsid w:val="0EB36461"/>
    <w:rsid w:val="0EBBEBE1"/>
    <w:rsid w:val="0F0E39FD"/>
    <w:rsid w:val="0F5C08A7"/>
    <w:rsid w:val="0F7D983A"/>
    <w:rsid w:val="0F862E63"/>
    <w:rsid w:val="0F8A42A0"/>
    <w:rsid w:val="0FA364D6"/>
    <w:rsid w:val="0FB96D88"/>
    <w:rsid w:val="0FBE39DC"/>
    <w:rsid w:val="0FC95CB4"/>
    <w:rsid w:val="0FE171F4"/>
    <w:rsid w:val="0FED0340"/>
    <w:rsid w:val="0FF6E065"/>
    <w:rsid w:val="0FF862D3"/>
    <w:rsid w:val="0FFD7E15"/>
    <w:rsid w:val="0FFEB409"/>
    <w:rsid w:val="105F24A2"/>
    <w:rsid w:val="10C20BDE"/>
    <w:rsid w:val="10D9105C"/>
    <w:rsid w:val="115135FC"/>
    <w:rsid w:val="11607D95"/>
    <w:rsid w:val="1194113E"/>
    <w:rsid w:val="11B00A36"/>
    <w:rsid w:val="11F72B09"/>
    <w:rsid w:val="121A5A0D"/>
    <w:rsid w:val="122356AC"/>
    <w:rsid w:val="127557DC"/>
    <w:rsid w:val="1279351E"/>
    <w:rsid w:val="12816876"/>
    <w:rsid w:val="129CA0B2"/>
    <w:rsid w:val="12F40DF6"/>
    <w:rsid w:val="131B6383"/>
    <w:rsid w:val="13B26139"/>
    <w:rsid w:val="13FEC189"/>
    <w:rsid w:val="14123C2A"/>
    <w:rsid w:val="1417096A"/>
    <w:rsid w:val="1433594E"/>
    <w:rsid w:val="14775ED9"/>
    <w:rsid w:val="147F0B94"/>
    <w:rsid w:val="15265387"/>
    <w:rsid w:val="15744B16"/>
    <w:rsid w:val="158235DE"/>
    <w:rsid w:val="15C727F2"/>
    <w:rsid w:val="15E91C66"/>
    <w:rsid w:val="15EE38B3"/>
    <w:rsid w:val="162871E3"/>
    <w:rsid w:val="166513BE"/>
    <w:rsid w:val="16AB5CAD"/>
    <w:rsid w:val="16D74971"/>
    <w:rsid w:val="170A5B08"/>
    <w:rsid w:val="1755C4E1"/>
    <w:rsid w:val="17710C68"/>
    <w:rsid w:val="1787A272"/>
    <w:rsid w:val="17996410"/>
    <w:rsid w:val="17A12A2A"/>
    <w:rsid w:val="17C54E81"/>
    <w:rsid w:val="17D83C35"/>
    <w:rsid w:val="17FE76B6"/>
    <w:rsid w:val="17FFE34E"/>
    <w:rsid w:val="185006E0"/>
    <w:rsid w:val="1851311C"/>
    <w:rsid w:val="185B5474"/>
    <w:rsid w:val="18853501"/>
    <w:rsid w:val="18A24E51"/>
    <w:rsid w:val="18B057C0"/>
    <w:rsid w:val="18EA7E1D"/>
    <w:rsid w:val="18EFBBCB"/>
    <w:rsid w:val="194A48BB"/>
    <w:rsid w:val="195C2E49"/>
    <w:rsid w:val="19960E59"/>
    <w:rsid w:val="1A006829"/>
    <w:rsid w:val="1A09735A"/>
    <w:rsid w:val="1A37302B"/>
    <w:rsid w:val="1A8853F5"/>
    <w:rsid w:val="1AA80E44"/>
    <w:rsid w:val="1AD62110"/>
    <w:rsid w:val="1B1CCD2C"/>
    <w:rsid w:val="1B293EDC"/>
    <w:rsid w:val="1B427B87"/>
    <w:rsid w:val="1B501479"/>
    <w:rsid w:val="1B7900EB"/>
    <w:rsid w:val="1B7B2C53"/>
    <w:rsid w:val="1B871F8E"/>
    <w:rsid w:val="1BB90E2F"/>
    <w:rsid w:val="1BBCC45E"/>
    <w:rsid w:val="1BC51582"/>
    <w:rsid w:val="1BFDFF04"/>
    <w:rsid w:val="1C595C81"/>
    <w:rsid w:val="1D507571"/>
    <w:rsid w:val="1D68567A"/>
    <w:rsid w:val="1DF75179"/>
    <w:rsid w:val="1E68FA88"/>
    <w:rsid w:val="1E7E19AD"/>
    <w:rsid w:val="1E9A3226"/>
    <w:rsid w:val="1EC27FFB"/>
    <w:rsid w:val="1ED902C4"/>
    <w:rsid w:val="1EDF07A5"/>
    <w:rsid w:val="1EDFE01F"/>
    <w:rsid w:val="1EE537BF"/>
    <w:rsid w:val="1EE59314"/>
    <w:rsid w:val="1F5657E1"/>
    <w:rsid w:val="1F574BE7"/>
    <w:rsid w:val="1F665EA2"/>
    <w:rsid w:val="1F9F4810"/>
    <w:rsid w:val="1F9FA6B6"/>
    <w:rsid w:val="1FA675C7"/>
    <w:rsid w:val="1FB70DEC"/>
    <w:rsid w:val="1FBFED06"/>
    <w:rsid w:val="1FDBAF6D"/>
    <w:rsid w:val="1FDF6B9D"/>
    <w:rsid w:val="1FFB5055"/>
    <w:rsid w:val="1FFBABC9"/>
    <w:rsid w:val="1FFBFB0D"/>
    <w:rsid w:val="20174376"/>
    <w:rsid w:val="20383FC2"/>
    <w:rsid w:val="204C1412"/>
    <w:rsid w:val="20507E6D"/>
    <w:rsid w:val="20BB73F7"/>
    <w:rsid w:val="21274A8D"/>
    <w:rsid w:val="21487D1A"/>
    <w:rsid w:val="215871A0"/>
    <w:rsid w:val="217D645B"/>
    <w:rsid w:val="22002BCF"/>
    <w:rsid w:val="22105521"/>
    <w:rsid w:val="222370A1"/>
    <w:rsid w:val="22411890"/>
    <w:rsid w:val="22D9209E"/>
    <w:rsid w:val="22DB5B2F"/>
    <w:rsid w:val="22E94F81"/>
    <w:rsid w:val="23902606"/>
    <w:rsid w:val="23B66D22"/>
    <w:rsid w:val="23D96359"/>
    <w:rsid w:val="2422189B"/>
    <w:rsid w:val="24466FD8"/>
    <w:rsid w:val="245F1130"/>
    <w:rsid w:val="24747FE9"/>
    <w:rsid w:val="24764A65"/>
    <w:rsid w:val="247B4ED4"/>
    <w:rsid w:val="249B0D76"/>
    <w:rsid w:val="24C525F3"/>
    <w:rsid w:val="250056C3"/>
    <w:rsid w:val="25113E0C"/>
    <w:rsid w:val="255147E2"/>
    <w:rsid w:val="25565E93"/>
    <w:rsid w:val="25575177"/>
    <w:rsid w:val="256040C9"/>
    <w:rsid w:val="25700A2C"/>
    <w:rsid w:val="258F5353"/>
    <w:rsid w:val="25DDBD59"/>
    <w:rsid w:val="263744E7"/>
    <w:rsid w:val="266F2816"/>
    <w:rsid w:val="268147C1"/>
    <w:rsid w:val="268B33C8"/>
    <w:rsid w:val="26B366AE"/>
    <w:rsid w:val="26FF1909"/>
    <w:rsid w:val="274E68CF"/>
    <w:rsid w:val="27801050"/>
    <w:rsid w:val="27BC6D65"/>
    <w:rsid w:val="27DB33AF"/>
    <w:rsid w:val="27DF7646"/>
    <w:rsid w:val="27EEF04C"/>
    <w:rsid w:val="27F32686"/>
    <w:rsid w:val="27F54F9D"/>
    <w:rsid w:val="283F0277"/>
    <w:rsid w:val="289642EE"/>
    <w:rsid w:val="28AE3E5D"/>
    <w:rsid w:val="28D9041B"/>
    <w:rsid w:val="291652AB"/>
    <w:rsid w:val="29BFC835"/>
    <w:rsid w:val="29E7300B"/>
    <w:rsid w:val="2A1C2CB5"/>
    <w:rsid w:val="2A7E3D94"/>
    <w:rsid w:val="2A862824"/>
    <w:rsid w:val="2ACA5FB1"/>
    <w:rsid w:val="2AD6263E"/>
    <w:rsid w:val="2AF578DD"/>
    <w:rsid w:val="2B035C23"/>
    <w:rsid w:val="2B1F1409"/>
    <w:rsid w:val="2B54704F"/>
    <w:rsid w:val="2BBF7749"/>
    <w:rsid w:val="2BC03B14"/>
    <w:rsid w:val="2BD3C6FD"/>
    <w:rsid w:val="2BD91045"/>
    <w:rsid w:val="2C23279A"/>
    <w:rsid w:val="2C6B355B"/>
    <w:rsid w:val="2C827B3E"/>
    <w:rsid w:val="2C9B5102"/>
    <w:rsid w:val="2CF3ED63"/>
    <w:rsid w:val="2D247A5C"/>
    <w:rsid w:val="2D2E08B5"/>
    <w:rsid w:val="2D426ED6"/>
    <w:rsid w:val="2D671799"/>
    <w:rsid w:val="2D772CA7"/>
    <w:rsid w:val="2DAC4350"/>
    <w:rsid w:val="2DBFFD17"/>
    <w:rsid w:val="2DD68FB2"/>
    <w:rsid w:val="2DD70495"/>
    <w:rsid w:val="2DE95FF2"/>
    <w:rsid w:val="2DF7D1F1"/>
    <w:rsid w:val="2E2F062E"/>
    <w:rsid w:val="2E383E35"/>
    <w:rsid w:val="2E7C0E79"/>
    <w:rsid w:val="2EB38CC6"/>
    <w:rsid w:val="2ED37C6C"/>
    <w:rsid w:val="2EF7EBDB"/>
    <w:rsid w:val="2EFF174C"/>
    <w:rsid w:val="2F3C31DF"/>
    <w:rsid w:val="2F4D1ED1"/>
    <w:rsid w:val="2F6DD2C4"/>
    <w:rsid w:val="2F6F2E47"/>
    <w:rsid w:val="2F7A2217"/>
    <w:rsid w:val="2F8F3F29"/>
    <w:rsid w:val="2F9C7419"/>
    <w:rsid w:val="2FAC6889"/>
    <w:rsid w:val="2FB14EEF"/>
    <w:rsid w:val="2FC93FFB"/>
    <w:rsid w:val="2FD61879"/>
    <w:rsid w:val="2FD933F6"/>
    <w:rsid w:val="2FDC1179"/>
    <w:rsid w:val="2FDC66F3"/>
    <w:rsid w:val="2FDD2AA2"/>
    <w:rsid w:val="2FDEFCF8"/>
    <w:rsid w:val="2FDF6C0C"/>
    <w:rsid w:val="2FFB5D0E"/>
    <w:rsid w:val="2FFF95CB"/>
    <w:rsid w:val="2FFFABD8"/>
    <w:rsid w:val="300264A9"/>
    <w:rsid w:val="30803872"/>
    <w:rsid w:val="30D616E4"/>
    <w:rsid w:val="31592A40"/>
    <w:rsid w:val="32337553"/>
    <w:rsid w:val="32435F12"/>
    <w:rsid w:val="325D8FBC"/>
    <w:rsid w:val="329067C4"/>
    <w:rsid w:val="32A74C8A"/>
    <w:rsid w:val="32DA54BB"/>
    <w:rsid w:val="32DA5706"/>
    <w:rsid w:val="33147A4B"/>
    <w:rsid w:val="33356B95"/>
    <w:rsid w:val="334D4507"/>
    <w:rsid w:val="33685E6B"/>
    <w:rsid w:val="33B40937"/>
    <w:rsid w:val="33DB351D"/>
    <w:rsid w:val="33FE1801"/>
    <w:rsid w:val="340842AA"/>
    <w:rsid w:val="343C1FE8"/>
    <w:rsid w:val="34555AE6"/>
    <w:rsid w:val="3463464F"/>
    <w:rsid w:val="34806536"/>
    <w:rsid w:val="34BF7698"/>
    <w:rsid w:val="34D4418C"/>
    <w:rsid w:val="34EF461D"/>
    <w:rsid w:val="35401930"/>
    <w:rsid w:val="35574B92"/>
    <w:rsid w:val="357F4ECA"/>
    <w:rsid w:val="358113BF"/>
    <w:rsid w:val="35C42453"/>
    <w:rsid w:val="35F42D38"/>
    <w:rsid w:val="36781709"/>
    <w:rsid w:val="37010A96"/>
    <w:rsid w:val="37315CD5"/>
    <w:rsid w:val="374675C3"/>
    <w:rsid w:val="375926B0"/>
    <w:rsid w:val="37611535"/>
    <w:rsid w:val="377F4622"/>
    <w:rsid w:val="378454BB"/>
    <w:rsid w:val="3787F3F7"/>
    <w:rsid w:val="3796652F"/>
    <w:rsid w:val="37C352AF"/>
    <w:rsid w:val="37FD4A26"/>
    <w:rsid w:val="37FF16BE"/>
    <w:rsid w:val="38367638"/>
    <w:rsid w:val="38D37E91"/>
    <w:rsid w:val="38FEF715"/>
    <w:rsid w:val="39185C3B"/>
    <w:rsid w:val="398F7C95"/>
    <w:rsid w:val="399F2FBB"/>
    <w:rsid w:val="39B34CB8"/>
    <w:rsid w:val="39D76BF8"/>
    <w:rsid w:val="3A0D00CC"/>
    <w:rsid w:val="3A4233A8"/>
    <w:rsid w:val="3A763E67"/>
    <w:rsid w:val="3A777A93"/>
    <w:rsid w:val="3A7FA7B9"/>
    <w:rsid w:val="3ABB48A4"/>
    <w:rsid w:val="3ABD13EE"/>
    <w:rsid w:val="3AC68097"/>
    <w:rsid w:val="3ADC3D9A"/>
    <w:rsid w:val="3B00734E"/>
    <w:rsid w:val="3B274F4E"/>
    <w:rsid w:val="3B6827A9"/>
    <w:rsid w:val="3BB9FE38"/>
    <w:rsid w:val="3BEB2C9F"/>
    <w:rsid w:val="3BEFA1B6"/>
    <w:rsid w:val="3BF00CFF"/>
    <w:rsid w:val="3BFBEB5C"/>
    <w:rsid w:val="3BFBF586"/>
    <w:rsid w:val="3BFF1E60"/>
    <w:rsid w:val="3C2679C3"/>
    <w:rsid w:val="3C37556B"/>
    <w:rsid w:val="3C5017FE"/>
    <w:rsid w:val="3C7A0A20"/>
    <w:rsid w:val="3CB534ED"/>
    <w:rsid w:val="3CC571DC"/>
    <w:rsid w:val="3CE358B4"/>
    <w:rsid w:val="3CEE173C"/>
    <w:rsid w:val="3CF60293"/>
    <w:rsid w:val="3CFFC1C0"/>
    <w:rsid w:val="3D580F58"/>
    <w:rsid w:val="3D5A43D5"/>
    <w:rsid w:val="3D63B08E"/>
    <w:rsid w:val="3D6FFAA4"/>
    <w:rsid w:val="3D7E419C"/>
    <w:rsid w:val="3D9E8B78"/>
    <w:rsid w:val="3DAFFF22"/>
    <w:rsid w:val="3DB9AD76"/>
    <w:rsid w:val="3DB9F362"/>
    <w:rsid w:val="3DBF0EC3"/>
    <w:rsid w:val="3DCF31BC"/>
    <w:rsid w:val="3DCFB3F2"/>
    <w:rsid w:val="3DD1AF9B"/>
    <w:rsid w:val="3DF42A74"/>
    <w:rsid w:val="3DFF4468"/>
    <w:rsid w:val="3EBE83E9"/>
    <w:rsid w:val="3EBF9111"/>
    <w:rsid w:val="3EDC6A5F"/>
    <w:rsid w:val="3EEA4CD8"/>
    <w:rsid w:val="3EEB14F0"/>
    <w:rsid w:val="3EFDD96D"/>
    <w:rsid w:val="3F370609"/>
    <w:rsid w:val="3F561326"/>
    <w:rsid w:val="3F6D7368"/>
    <w:rsid w:val="3F7F6916"/>
    <w:rsid w:val="3F890995"/>
    <w:rsid w:val="3F93797F"/>
    <w:rsid w:val="3F9966FE"/>
    <w:rsid w:val="3F9B8255"/>
    <w:rsid w:val="3FA5377A"/>
    <w:rsid w:val="3FA5B1F8"/>
    <w:rsid w:val="3FB3E709"/>
    <w:rsid w:val="3FB782BC"/>
    <w:rsid w:val="3FBB6463"/>
    <w:rsid w:val="3FBF995B"/>
    <w:rsid w:val="3FCFD10B"/>
    <w:rsid w:val="3FDF7FDB"/>
    <w:rsid w:val="3FDFBA1E"/>
    <w:rsid w:val="3FE3222B"/>
    <w:rsid w:val="3FE8ED35"/>
    <w:rsid w:val="3FEB89FF"/>
    <w:rsid w:val="3FED902C"/>
    <w:rsid w:val="3FF33835"/>
    <w:rsid w:val="3FF57ECA"/>
    <w:rsid w:val="3FF6BEA6"/>
    <w:rsid w:val="3FF8FDDF"/>
    <w:rsid w:val="403C0B6A"/>
    <w:rsid w:val="406F3C61"/>
    <w:rsid w:val="409D5B3A"/>
    <w:rsid w:val="40DB5220"/>
    <w:rsid w:val="40E7065C"/>
    <w:rsid w:val="41006A35"/>
    <w:rsid w:val="412E5D4F"/>
    <w:rsid w:val="41480AF3"/>
    <w:rsid w:val="41A30F3F"/>
    <w:rsid w:val="41D31D4D"/>
    <w:rsid w:val="41D6196E"/>
    <w:rsid w:val="421F72DE"/>
    <w:rsid w:val="42812836"/>
    <w:rsid w:val="42F92F60"/>
    <w:rsid w:val="42FE6FA4"/>
    <w:rsid w:val="431211E0"/>
    <w:rsid w:val="43395DD5"/>
    <w:rsid w:val="43594E0B"/>
    <w:rsid w:val="436A561E"/>
    <w:rsid w:val="43B71061"/>
    <w:rsid w:val="43C95EAB"/>
    <w:rsid w:val="43FF8621"/>
    <w:rsid w:val="444B093F"/>
    <w:rsid w:val="44567102"/>
    <w:rsid w:val="446B68BB"/>
    <w:rsid w:val="44790648"/>
    <w:rsid w:val="44A27E03"/>
    <w:rsid w:val="44BA6EFA"/>
    <w:rsid w:val="44CC7210"/>
    <w:rsid w:val="44F468B0"/>
    <w:rsid w:val="45383EA0"/>
    <w:rsid w:val="456D6663"/>
    <w:rsid w:val="45D93CF8"/>
    <w:rsid w:val="46B57750"/>
    <w:rsid w:val="46CE1D6D"/>
    <w:rsid w:val="46D31850"/>
    <w:rsid w:val="46F30DE6"/>
    <w:rsid w:val="46FE2974"/>
    <w:rsid w:val="46FF54F3"/>
    <w:rsid w:val="4742070C"/>
    <w:rsid w:val="476DC16E"/>
    <w:rsid w:val="47D718C0"/>
    <w:rsid w:val="47E90276"/>
    <w:rsid w:val="47EFEF16"/>
    <w:rsid w:val="47F3CF1F"/>
    <w:rsid w:val="48967A43"/>
    <w:rsid w:val="491941D3"/>
    <w:rsid w:val="491E217B"/>
    <w:rsid w:val="498015D8"/>
    <w:rsid w:val="499279B0"/>
    <w:rsid w:val="49BD64F1"/>
    <w:rsid w:val="49CA01AD"/>
    <w:rsid w:val="49D33495"/>
    <w:rsid w:val="49F40822"/>
    <w:rsid w:val="4A0B59FC"/>
    <w:rsid w:val="4A6D609A"/>
    <w:rsid w:val="4A7162AD"/>
    <w:rsid w:val="4A9F72BE"/>
    <w:rsid w:val="4ABA40F8"/>
    <w:rsid w:val="4AC56198"/>
    <w:rsid w:val="4AE72A13"/>
    <w:rsid w:val="4B5C6F5D"/>
    <w:rsid w:val="4BC66ACD"/>
    <w:rsid w:val="4BE27F8A"/>
    <w:rsid w:val="4BEF5181"/>
    <w:rsid w:val="4BFA25B8"/>
    <w:rsid w:val="4CAC1664"/>
    <w:rsid w:val="4CBD57DA"/>
    <w:rsid w:val="4CE9567B"/>
    <w:rsid w:val="4D151ABA"/>
    <w:rsid w:val="4D5F0A7B"/>
    <w:rsid w:val="4D5F0F87"/>
    <w:rsid w:val="4D6F764D"/>
    <w:rsid w:val="4D956BBA"/>
    <w:rsid w:val="4D9AF7D3"/>
    <w:rsid w:val="4DA155CD"/>
    <w:rsid w:val="4DAB40F0"/>
    <w:rsid w:val="4DCB0E67"/>
    <w:rsid w:val="4DF16BE2"/>
    <w:rsid w:val="4DF7020F"/>
    <w:rsid w:val="4E095467"/>
    <w:rsid w:val="4E102281"/>
    <w:rsid w:val="4E192EE4"/>
    <w:rsid w:val="4E252A12"/>
    <w:rsid w:val="4E2D4BE1"/>
    <w:rsid w:val="4E6067E5"/>
    <w:rsid w:val="4E6376C3"/>
    <w:rsid w:val="4E6A373F"/>
    <w:rsid w:val="4EA75DAE"/>
    <w:rsid w:val="4EC3138A"/>
    <w:rsid w:val="4F0A6497"/>
    <w:rsid w:val="4F1249DB"/>
    <w:rsid w:val="4F4A531F"/>
    <w:rsid w:val="4F9EA9A4"/>
    <w:rsid w:val="4FAFB6C9"/>
    <w:rsid w:val="4FBADB74"/>
    <w:rsid w:val="4FCD667C"/>
    <w:rsid w:val="4FEF9DD2"/>
    <w:rsid w:val="4FEFF048"/>
    <w:rsid w:val="4FFB3645"/>
    <w:rsid w:val="4FFBCB6C"/>
    <w:rsid w:val="4FFFF544"/>
    <w:rsid w:val="50067F44"/>
    <w:rsid w:val="506A59C1"/>
    <w:rsid w:val="507B1071"/>
    <w:rsid w:val="50CA2BBB"/>
    <w:rsid w:val="50E17E52"/>
    <w:rsid w:val="50E82E53"/>
    <w:rsid w:val="51085492"/>
    <w:rsid w:val="518C55E7"/>
    <w:rsid w:val="51CC6AFB"/>
    <w:rsid w:val="51D2265E"/>
    <w:rsid w:val="51E605CA"/>
    <w:rsid w:val="522E717A"/>
    <w:rsid w:val="525210BA"/>
    <w:rsid w:val="52691F60"/>
    <w:rsid w:val="526C1DCF"/>
    <w:rsid w:val="52733555"/>
    <w:rsid w:val="529329F2"/>
    <w:rsid w:val="52AF3E17"/>
    <w:rsid w:val="53144AF9"/>
    <w:rsid w:val="532760A3"/>
    <w:rsid w:val="53277088"/>
    <w:rsid w:val="532F0195"/>
    <w:rsid w:val="535E4544"/>
    <w:rsid w:val="536760AB"/>
    <w:rsid w:val="53964FD7"/>
    <w:rsid w:val="53B275D1"/>
    <w:rsid w:val="53BF436B"/>
    <w:rsid w:val="53D7ABD3"/>
    <w:rsid w:val="53D8114B"/>
    <w:rsid w:val="53E2646E"/>
    <w:rsid w:val="53EFF926"/>
    <w:rsid w:val="53F993AF"/>
    <w:rsid w:val="53F9BAE9"/>
    <w:rsid w:val="541718E2"/>
    <w:rsid w:val="54322F51"/>
    <w:rsid w:val="54694499"/>
    <w:rsid w:val="54973D15"/>
    <w:rsid w:val="54B62F10"/>
    <w:rsid w:val="54CC7B84"/>
    <w:rsid w:val="54E42A7B"/>
    <w:rsid w:val="55217476"/>
    <w:rsid w:val="552503C0"/>
    <w:rsid w:val="55261312"/>
    <w:rsid w:val="55913CA7"/>
    <w:rsid w:val="55DC7D12"/>
    <w:rsid w:val="55ED4C05"/>
    <w:rsid w:val="55FDC90C"/>
    <w:rsid w:val="560875D0"/>
    <w:rsid w:val="5611706C"/>
    <w:rsid w:val="561F7505"/>
    <w:rsid w:val="5697456D"/>
    <w:rsid w:val="56BF94B9"/>
    <w:rsid w:val="56E83D9B"/>
    <w:rsid w:val="56FA762A"/>
    <w:rsid w:val="5735CBEA"/>
    <w:rsid w:val="577BE4B7"/>
    <w:rsid w:val="57BC901B"/>
    <w:rsid w:val="57BE2BC5"/>
    <w:rsid w:val="57CF0656"/>
    <w:rsid w:val="57F5C6B7"/>
    <w:rsid w:val="57F73867"/>
    <w:rsid w:val="57FE3F33"/>
    <w:rsid w:val="5818245E"/>
    <w:rsid w:val="58205C5D"/>
    <w:rsid w:val="587C2A97"/>
    <w:rsid w:val="587F4621"/>
    <w:rsid w:val="588B0446"/>
    <w:rsid w:val="58A261CC"/>
    <w:rsid w:val="58B24661"/>
    <w:rsid w:val="59142C25"/>
    <w:rsid w:val="59164115"/>
    <w:rsid w:val="591A3FB4"/>
    <w:rsid w:val="592F5F1A"/>
    <w:rsid w:val="594B3D4F"/>
    <w:rsid w:val="59540192"/>
    <w:rsid w:val="59682F71"/>
    <w:rsid w:val="59BDA199"/>
    <w:rsid w:val="59BE3D6B"/>
    <w:rsid w:val="5A126853"/>
    <w:rsid w:val="5A546B2D"/>
    <w:rsid w:val="5A5B2064"/>
    <w:rsid w:val="5A7F7DD7"/>
    <w:rsid w:val="5ACF0239"/>
    <w:rsid w:val="5AD72199"/>
    <w:rsid w:val="5AE93137"/>
    <w:rsid w:val="5AEA2A03"/>
    <w:rsid w:val="5AF96765"/>
    <w:rsid w:val="5AFB3979"/>
    <w:rsid w:val="5AFC922B"/>
    <w:rsid w:val="5B760F9C"/>
    <w:rsid w:val="5B7B51DE"/>
    <w:rsid w:val="5BA675B2"/>
    <w:rsid w:val="5BBDEF6D"/>
    <w:rsid w:val="5BF77D16"/>
    <w:rsid w:val="5BF7F7C7"/>
    <w:rsid w:val="5BFB0023"/>
    <w:rsid w:val="5BFBE802"/>
    <w:rsid w:val="5BFC564E"/>
    <w:rsid w:val="5BFE6265"/>
    <w:rsid w:val="5C3C1757"/>
    <w:rsid w:val="5C4B1054"/>
    <w:rsid w:val="5C6B5FD3"/>
    <w:rsid w:val="5C774544"/>
    <w:rsid w:val="5C855BE8"/>
    <w:rsid w:val="5C877BB2"/>
    <w:rsid w:val="5C9B04D2"/>
    <w:rsid w:val="5CA301F7"/>
    <w:rsid w:val="5CEFF370"/>
    <w:rsid w:val="5D1F6811"/>
    <w:rsid w:val="5D4B7E17"/>
    <w:rsid w:val="5D7B81D3"/>
    <w:rsid w:val="5D7E7207"/>
    <w:rsid w:val="5D8BD158"/>
    <w:rsid w:val="5DAE4240"/>
    <w:rsid w:val="5DBFA79D"/>
    <w:rsid w:val="5DC2123B"/>
    <w:rsid w:val="5DC4308B"/>
    <w:rsid w:val="5DCFA4F8"/>
    <w:rsid w:val="5DD930F3"/>
    <w:rsid w:val="5DE10CFC"/>
    <w:rsid w:val="5DE39C8F"/>
    <w:rsid w:val="5DF32652"/>
    <w:rsid w:val="5DF769D3"/>
    <w:rsid w:val="5DFB24E5"/>
    <w:rsid w:val="5DFDA132"/>
    <w:rsid w:val="5E0A0A9B"/>
    <w:rsid w:val="5E34020C"/>
    <w:rsid w:val="5E6F724E"/>
    <w:rsid w:val="5E7C394C"/>
    <w:rsid w:val="5EAE72A8"/>
    <w:rsid w:val="5EAF92CD"/>
    <w:rsid w:val="5EB032DF"/>
    <w:rsid w:val="5EDDE9AB"/>
    <w:rsid w:val="5EE75356"/>
    <w:rsid w:val="5EF68E4F"/>
    <w:rsid w:val="5EFD78EE"/>
    <w:rsid w:val="5EFF4F6C"/>
    <w:rsid w:val="5F474438"/>
    <w:rsid w:val="5F4AC492"/>
    <w:rsid w:val="5F5B248D"/>
    <w:rsid w:val="5F5BB965"/>
    <w:rsid w:val="5F63E3DF"/>
    <w:rsid w:val="5F6C3417"/>
    <w:rsid w:val="5F6EBE6E"/>
    <w:rsid w:val="5F6FF340"/>
    <w:rsid w:val="5F73E2EC"/>
    <w:rsid w:val="5F7DCCFD"/>
    <w:rsid w:val="5F7EBEC9"/>
    <w:rsid w:val="5FA77F48"/>
    <w:rsid w:val="5FBB2EDB"/>
    <w:rsid w:val="5FCF0C7E"/>
    <w:rsid w:val="5FD7B973"/>
    <w:rsid w:val="5FDD2DF1"/>
    <w:rsid w:val="5FDDA590"/>
    <w:rsid w:val="5FDF859C"/>
    <w:rsid w:val="5FE016E1"/>
    <w:rsid w:val="5FEF77D2"/>
    <w:rsid w:val="5FF94103"/>
    <w:rsid w:val="5FFDB8AD"/>
    <w:rsid w:val="5FFECE31"/>
    <w:rsid w:val="60172FFB"/>
    <w:rsid w:val="6045400C"/>
    <w:rsid w:val="6057167F"/>
    <w:rsid w:val="60844B35"/>
    <w:rsid w:val="60B46AA4"/>
    <w:rsid w:val="60BB42CE"/>
    <w:rsid w:val="60EA5283"/>
    <w:rsid w:val="60EB7694"/>
    <w:rsid w:val="61475B62"/>
    <w:rsid w:val="614C792A"/>
    <w:rsid w:val="61646FA9"/>
    <w:rsid w:val="618F263F"/>
    <w:rsid w:val="61946028"/>
    <w:rsid w:val="619D39D4"/>
    <w:rsid w:val="61BEF6B0"/>
    <w:rsid w:val="61C13B66"/>
    <w:rsid w:val="61C84EF5"/>
    <w:rsid w:val="61E351BB"/>
    <w:rsid w:val="61EB9D72"/>
    <w:rsid w:val="61EF4230"/>
    <w:rsid w:val="62265778"/>
    <w:rsid w:val="623A5509"/>
    <w:rsid w:val="623F1255"/>
    <w:rsid w:val="624125B1"/>
    <w:rsid w:val="62600C89"/>
    <w:rsid w:val="626F766E"/>
    <w:rsid w:val="62BD463B"/>
    <w:rsid w:val="62BF1C58"/>
    <w:rsid w:val="63097DB2"/>
    <w:rsid w:val="63415BC6"/>
    <w:rsid w:val="63416268"/>
    <w:rsid w:val="63467E21"/>
    <w:rsid w:val="639BC23E"/>
    <w:rsid w:val="63CFDA8D"/>
    <w:rsid w:val="63FF4366"/>
    <w:rsid w:val="6408782B"/>
    <w:rsid w:val="64432611"/>
    <w:rsid w:val="64801AB7"/>
    <w:rsid w:val="64B52334"/>
    <w:rsid w:val="650049A6"/>
    <w:rsid w:val="653603C7"/>
    <w:rsid w:val="653FF625"/>
    <w:rsid w:val="65531632"/>
    <w:rsid w:val="65AEAEA5"/>
    <w:rsid w:val="6600592C"/>
    <w:rsid w:val="663B6942"/>
    <w:rsid w:val="66613222"/>
    <w:rsid w:val="66650F64"/>
    <w:rsid w:val="666F5F0D"/>
    <w:rsid w:val="668A4527"/>
    <w:rsid w:val="66BC18F0"/>
    <w:rsid w:val="66D3373C"/>
    <w:rsid w:val="670047E9"/>
    <w:rsid w:val="671FD591"/>
    <w:rsid w:val="675D7E8D"/>
    <w:rsid w:val="67CE2B39"/>
    <w:rsid w:val="67DB0384"/>
    <w:rsid w:val="67DD1EAC"/>
    <w:rsid w:val="67DE09B9"/>
    <w:rsid w:val="67E6D479"/>
    <w:rsid w:val="67EF0BE3"/>
    <w:rsid w:val="67FD0D78"/>
    <w:rsid w:val="68184539"/>
    <w:rsid w:val="681D13CB"/>
    <w:rsid w:val="684470C7"/>
    <w:rsid w:val="687234C5"/>
    <w:rsid w:val="68E7922A"/>
    <w:rsid w:val="694D6E36"/>
    <w:rsid w:val="69540E1C"/>
    <w:rsid w:val="69D87D54"/>
    <w:rsid w:val="69F266EF"/>
    <w:rsid w:val="69F37FA4"/>
    <w:rsid w:val="6A457966"/>
    <w:rsid w:val="6A67D135"/>
    <w:rsid w:val="6A9F608B"/>
    <w:rsid w:val="6ABBD964"/>
    <w:rsid w:val="6AD92E09"/>
    <w:rsid w:val="6AEEBDCB"/>
    <w:rsid w:val="6AFF3DBD"/>
    <w:rsid w:val="6AFF3F5B"/>
    <w:rsid w:val="6B20545A"/>
    <w:rsid w:val="6B3E7EDF"/>
    <w:rsid w:val="6B757AC3"/>
    <w:rsid w:val="6B7A7622"/>
    <w:rsid w:val="6B8E7904"/>
    <w:rsid w:val="6B9917CB"/>
    <w:rsid w:val="6B9F3C7B"/>
    <w:rsid w:val="6BA77E10"/>
    <w:rsid w:val="6BAE7CFB"/>
    <w:rsid w:val="6BC57676"/>
    <w:rsid w:val="6BD44496"/>
    <w:rsid w:val="6BEB7A83"/>
    <w:rsid w:val="6C5A0E3F"/>
    <w:rsid w:val="6C975BF0"/>
    <w:rsid w:val="6C9A7FD1"/>
    <w:rsid w:val="6CAF32A3"/>
    <w:rsid w:val="6CCB2BB0"/>
    <w:rsid w:val="6CD72DB8"/>
    <w:rsid w:val="6CDB65EC"/>
    <w:rsid w:val="6CE335A9"/>
    <w:rsid w:val="6CF2407E"/>
    <w:rsid w:val="6D194C1B"/>
    <w:rsid w:val="6D1A237D"/>
    <w:rsid w:val="6D261106"/>
    <w:rsid w:val="6D6B38D7"/>
    <w:rsid w:val="6D7941A0"/>
    <w:rsid w:val="6D8C31AF"/>
    <w:rsid w:val="6D9F75BA"/>
    <w:rsid w:val="6DB36A59"/>
    <w:rsid w:val="6DCA21DB"/>
    <w:rsid w:val="6DDD6253"/>
    <w:rsid w:val="6DDEB053"/>
    <w:rsid w:val="6DDF378D"/>
    <w:rsid w:val="6DE95E13"/>
    <w:rsid w:val="6DEEB87D"/>
    <w:rsid w:val="6DF36E56"/>
    <w:rsid w:val="6DFB8277"/>
    <w:rsid w:val="6DFDBC7F"/>
    <w:rsid w:val="6DFE4301"/>
    <w:rsid w:val="6DFF081C"/>
    <w:rsid w:val="6E0B0643"/>
    <w:rsid w:val="6E43C3E3"/>
    <w:rsid w:val="6E55034E"/>
    <w:rsid w:val="6E7BC1CB"/>
    <w:rsid w:val="6E7D6AB0"/>
    <w:rsid w:val="6E807286"/>
    <w:rsid w:val="6E881C94"/>
    <w:rsid w:val="6E884FD0"/>
    <w:rsid w:val="6E895A0C"/>
    <w:rsid w:val="6E8D7117"/>
    <w:rsid w:val="6EBD7874"/>
    <w:rsid w:val="6EDF550E"/>
    <w:rsid w:val="6EE079F1"/>
    <w:rsid w:val="6EE7C484"/>
    <w:rsid w:val="6EF562C4"/>
    <w:rsid w:val="6EF5901E"/>
    <w:rsid w:val="6EF7F75E"/>
    <w:rsid w:val="6EFDAB3C"/>
    <w:rsid w:val="6EFF1ED5"/>
    <w:rsid w:val="6EFF2AB7"/>
    <w:rsid w:val="6EFFE072"/>
    <w:rsid w:val="6F111367"/>
    <w:rsid w:val="6F3F532F"/>
    <w:rsid w:val="6F536774"/>
    <w:rsid w:val="6F5778B8"/>
    <w:rsid w:val="6F57AA69"/>
    <w:rsid w:val="6F5D87D7"/>
    <w:rsid w:val="6F6A4C3C"/>
    <w:rsid w:val="6F6D709D"/>
    <w:rsid w:val="6F7E18E1"/>
    <w:rsid w:val="6F8F29A5"/>
    <w:rsid w:val="6FAB2801"/>
    <w:rsid w:val="6FAF2726"/>
    <w:rsid w:val="6FB765B6"/>
    <w:rsid w:val="6FBF27D0"/>
    <w:rsid w:val="6FCB1427"/>
    <w:rsid w:val="6FCFE308"/>
    <w:rsid w:val="6FD4A937"/>
    <w:rsid w:val="6FD607DD"/>
    <w:rsid w:val="6FDFF61C"/>
    <w:rsid w:val="6FE45035"/>
    <w:rsid w:val="6FEB3FAF"/>
    <w:rsid w:val="6FED1A5F"/>
    <w:rsid w:val="6FEF2045"/>
    <w:rsid w:val="6FEF4FD6"/>
    <w:rsid w:val="6FEFB1EA"/>
    <w:rsid w:val="6FF79B9B"/>
    <w:rsid w:val="6FFFA229"/>
    <w:rsid w:val="6FFFE203"/>
    <w:rsid w:val="6FFFE4D5"/>
    <w:rsid w:val="706F0148"/>
    <w:rsid w:val="709A3F00"/>
    <w:rsid w:val="70AA04D0"/>
    <w:rsid w:val="70C20D61"/>
    <w:rsid w:val="70D311C0"/>
    <w:rsid w:val="71045209"/>
    <w:rsid w:val="711F1FB7"/>
    <w:rsid w:val="7159253B"/>
    <w:rsid w:val="717C7162"/>
    <w:rsid w:val="71881FAB"/>
    <w:rsid w:val="71C805BD"/>
    <w:rsid w:val="71E78604"/>
    <w:rsid w:val="71F2C3AB"/>
    <w:rsid w:val="723815E1"/>
    <w:rsid w:val="723F0727"/>
    <w:rsid w:val="7265409A"/>
    <w:rsid w:val="72933FAE"/>
    <w:rsid w:val="72960A02"/>
    <w:rsid w:val="72A7BABB"/>
    <w:rsid w:val="72FF6EA2"/>
    <w:rsid w:val="72FFE3FE"/>
    <w:rsid w:val="73076EFF"/>
    <w:rsid w:val="733A44E6"/>
    <w:rsid w:val="735D5FF9"/>
    <w:rsid w:val="73C635E9"/>
    <w:rsid w:val="73E665FA"/>
    <w:rsid w:val="73E7A294"/>
    <w:rsid w:val="73F3ACB0"/>
    <w:rsid w:val="73FFE06E"/>
    <w:rsid w:val="740B06A5"/>
    <w:rsid w:val="740F42BD"/>
    <w:rsid w:val="74147B26"/>
    <w:rsid w:val="7467D710"/>
    <w:rsid w:val="746D3967"/>
    <w:rsid w:val="74703282"/>
    <w:rsid w:val="74D472B5"/>
    <w:rsid w:val="74F784EC"/>
    <w:rsid w:val="7524023C"/>
    <w:rsid w:val="756F711B"/>
    <w:rsid w:val="7577628C"/>
    <w:rsid w:val="757A4300"/>
    <w:rsid w:val="757E0E17"/>
    <w:rsid w:val="75920609"/>
    <w:rsid w:val="75BD3DE2"/>
    <w:rsid w:val="75BD5AC9"/>
    <w:rsid w:val="75CB4B5C"/>
    <w:rsid w:val="75D44502"/>
    <w:rsid w:val="75DF30DE"/>
    <w:rsid w:val="75EB48B6"/>
    <w:rsid w:val="75FD8927"/>
    <w:rsid w:val="75FFDE28"/>
    <w:rsid w:val="75FFED14"/>
    <w:rsid w:val="765D0673"/>
    <w:rsid w:val="769D3E02"/>
    <w:rsid w:val="769F729E"/>
    <w:rsid w:val="76A97D6A"/>
    <w:rsid w:val="76B5DB26"/>
    <w:rsid w:val="76D75876"/>
    <w:rsid w:val="76DDA287"/>
    <w:rsid w:val="772F8775"/>
    <w:rsid w:val="773F608A"/>
    <w:rsid w:val="775FE7A7"/>
    <w:rsid w:val="7775428E"/>
    <w:rsid w:val="77775AD4"/>
    <w:rsid w:val="777F2E9C"/>
    <w:rsid w:val="778A6A02"/>
    <w:rsid w:val="77BE1E64"/>
    <w:rsid w:val="77C056C6"/>
    <w:rsid w:val="77C23008"/>
    <w:rsid w:val="77CDB29F"/>
    <w:rsid w:val="77D58991"/>
    <w:rsid w:val="77DBF605"/>
    <w:rsid w:val="77DC38A5"/>
    <w:rsid w:val="77DF1767"/>
    <w:rsid w:val="77DFE4C9"/>
    <w:rsid w:val="77EE330B"/>
    <w:rsid w:val="77EF988C"/>
    <w:rsid w:val="77F576DC"/>
    <w:rsid w:val="77F5D58C"/>
    <w:rsid w:val="77F66641"/>
    <w:rsid w:val="77FEDA54"/>
    <w:rsid w:val="77FF0EFA"/>
    <w:rsid w:val="77FF3F28"/>
    <w:rsid w:val="77FF63BA"/>
    <w:rsid w:val="77FF949B"/>
    <w:rsid w:val="78395DAD"/>
    <w:rsid w:val="7871135D"/>
    <w:rsid w:val="78A771BA"/>
    <w:rsid w:val="78C53BF3"/>
    <w:rsid w:val="78D700CA"/>
    <w:rsid w:val="790E4463"/>
    <w:rsid w:val="791E4FA3"/>
    <w:rsid w:val="7947019D"/>
    <w:rsid w:val="794778C4"/>
    <w:rsid w:val="79700FB7"/>
    <w:rsid w:val="797F1D2C"/>
    <w:rsid w:val="799F786D"/>
    <w:rsid w:val="79B03058"/>
    <w:rsid w:val="79B11037"/>
    <w:rsid w:val="79FF454F"/>
    <w:rsid w:val="7A305F36"/>
    <w:rsid w:val="7AC31425"/>
    <w:rsid w:val="7ACE0567"/>
    <w:rsid w:val="7ACF93F1"/>
    <w:rsid w:val="7ADF8E22"/>
    <w:rsid w:val="7AEF27FA"/>
    <w:rsid w:val="7AEF4A1A"/>
    <w:rsid w:val="7AF7538A"/>
    <w:rsid w:val="7AF7810E"/>
    <w:rsid w:val="7AF7DCCE"/>
    <w:rsid w:val="7AF95CC7"/>
    <w:rsid w:val="7AF979AE"/>
    <w:rsid w:val="7AFF11A3"/>
    <w:rsid w:val="7AFFDA28"/>
    <w:rsid w:val="7B3E33DA"/>
    <w:rsid w:val="7B47AF79"/>
    <w:rsid w:val="7B7C6BFB"/>
    <w:rsid w:val="7B7F1901"/>
    <w:rsid w:val="7B7F6038"/>
    <w:rsid w:val="7B7F7EF1"/>
    <w:rsid w:val="7B9D48A5"/>
    <w:rsid w:val="7BBDA01E"/>
    <w:rsid w:val="7BBF6CB7"/>
    <w:rsid w:val="7BCED462"/>
    <w:rsid w:val="7BD71FF7"/>
    <w:rsid w:val="7BD7B82F"/>
    <w:rsid w:val="7BDBDD2A"/>
    <w:rsid w:val="7BDF571C"/>
    <w:rsid w:val="7BE50765"/>
    <w:rsid w:val="7BE7AA71"/>
    <w:rsid w:val="7BEFEB4C"/>
    <w:rsid w:val="7BF1EE90"/>
    <w:rsid w:val="7BFB4FBB"/>
    <w:rsid w:val="7BFBD4F6"/>
    <w:rsid w:val="7C120DEF"/>
    <w:rsid w:val="7C165398"/>
    <w:rsid w:val="7C37B536"/>
    <w:rsid w:val="7C68287A"/>
    <w:rsid w:val="7C68F619"/>
    <w:rsid w:val="7C6C5768"/>
    <w:rsid w:val="7C778D91"/>
    <w:rsid w:val="7C965AA5"/>
    <w:rsid w:val="7C973D0E"/>
    <w:rsid w:val="7C9F4DAE"/>
    <w:rsid w:val="7C9FDE6B"/>
    <w:rsid w:val="7CAD3687"/>
    <w:rsid w:val="7CB77472"/>
    <w:rsid w:val="7CB95369"/>
    <w:rsid w:val="7CBF8958"/>
    <w:rsid w:val="7CC44E56"/>
    <w:rsid w:val="7CDB074B"/>
    <w:rsid w:val="7CE33844"/>
    <w:rsid w:val="7CEC6928"/>
    <w:rsid w:val="7CEDB895"/>
    <w:rsid w:val="7CF6426C"/>
    <w:rsid w:val="7CF7CDF8"/>
    <w:rsid w:val="7CFFE32F"/>
    <w:rsid w:val="7D1F0B58"/>
    <w:rsid w:val="7D3D6F03"/>
    <w:rsid w:val="7D692C90"/>
    <w:rsid w:val="7D7D70E2"/>
    <w:rsid w:val="7D7D7F2B"/>
    <w:rsid w:val="7D7F2ABD"/>
    <w:rsid w:val="7D7F8374"/>
    <w:rsid w:val="7D967F4A"/>
    <w:rsid w:val="7D9C8197"/>
    <w:rsid w:val="7D9E7CF3"/>
    <w:rsid w:val="7D9F4CC2"/>
    <w:rsid w:val="7DA70B08"/>
    <w:rsid w:val="7DAEE4AA"/>
    <w:rsid w:val="7DB2AB9B"/>
    <w:rsid w:val="7DB71BDD"/>
    <w:rsid w:val="7DB90615"/>
    <w:rsid w:val="7DDEB3E0"/>
    <w:rsid w:val="7DDF2EF2"/>
    <w:rsid w:val="7DDFEA63"/>
    <w:rsid w:val="7DE04C9F"/>
    <w:rsid w:val="7DE524A1"/>
    <w:rsid w:val="7DED924E"/>
    <w:rsid w:val="7DEFFE7F"/>
    <w:rsid w:val="7DFA4B92"/>
    <w:rsid w:val="7DFD27B2"/>
    <w:rsid w:val="7DFDBB69"/>
    <w:rsid w:val="7DFF1E96"/>
    <w:rsid w:val="7DFF3201"/>
    <w:rsid w:val="7DFF5CFD"/>
    <w:rsid w:val="7DFF7572"/>
    <w:rsid w:val="7DFF7F2C"/>
    <w:rsid w:val="7DFFA0DE"/>
    <w:rsid w:val="7DFFA73D"/>
    <w:rsid w:val="7E0F600E"/>
    <w:rsid w:val="7E3DD810"/>
    <w:rsid w:val="7E53C446"/>
    <w:rsid w:val="7E6B6B78"/>
    <w:rsid w:val="7E754BA7"/>
    <w:rsid w:val="7E764246"/>
    <w:rsid w:val="7E7992D7"/>
    <w:rsid w:val="7E7D6EFE"/>
    <w:rsid w:val="7E816340"/>
    <w:rsid w:val="7E9923BE"/>
    <w:rsid w:val="7EAA17B2"/>
    <w:rsid w:val="7EAD6FA6"/>
    <w:rsid w:val="7EBDA2AA"/>
    <w:rsid w:val="7ECFE7AA"/>
    <w:rsid w:val="7ED5097F"/>
    <w:rsid w:val="7ED978A7"/>
    <w:rsid w:val="7EDD3487"/>
    <w:rsid w:val="7EDFBDC5"/>
    <w:rsid w:val="7EE57BD0"/>
    <w:rsid w:val="7EE9F9A9"/>
    <w:rsid w:val="7EEDFCFD"/>
    <w:rsid w:val="7EEF30DB"/>
    <w:rsid w:val="7EF7F5D9"/>
    <w:rsid w:val="7EFB0260"/>
    <w:rsid w:val="7EFBC121"/>
    <w:rsid w:val="7EFE3C03"/>
    <w:rsid w:val="7EFEEEAE"/>
    <w:rsid w:val="7EFFD312"/>
    <w:rsid w:val="7F020531"/>
    <w:rsid w:val="7F080287"/>
    <w:rsid w:val="7F169081"/>
    <w:rsid w:val="7F2E1318"/>
    <w:rsid w:val="7F2F02EE"/>
    <w:rsid w:val="7F332551"/>
    <w:rsid w:val="7F343441"/>
    <w:rsid w:val="7F3744C4"/>
    <w:rsid w:val="7F46E435"/>
    <w:rsid w:val="7F4C2401"/>
    <w:rsid w:val="7F4F5B96"/>
    <w:rsid w:val="7F5A19A3"/>
    <w:rsid w:val="7F5F01F7"/>
    <w:rsid w:val="7F6F0131"/>
    <w:rsid w:val="7F6F9584"/>
    <w:rsid w:val="7F778C4D"/>
    <w:rsid w:val="7F7B83AE"/>
    <w:rsid w:val="7F7CAE73"/>
    <w:rsid w:val="7F7F67E6"/>
    <w:rsid w:val="7F7F9151"/>
    <w:rsid w:val="7F7FEF54"/>
    <w:rsid w:val="7F8797A3"/>
    <w:rsid w:val="7F8E6584"/>
    <w:rsid w:val="7F8FDA47"/>
    <w:rsid w:val="7F95055D"/>
    <w:rsid w:val="7F9FD24E"/>
    <w:rsid w:val="7FA2E4B9"/>
    <w:rsid w:val="7FA7DA00"/>
    <w:rsid w:val="7FAAFDC9"/>
    <w:rsid w:val="7FB1B58E"/>
    <w:rsid w:val="7FB9201E"/>
    <w:rsid w:val="7FBB4067"/>
    <w:rsid w:val="7FBC2E67"/>
    <w:rsid w:val="7FBEAC3E"/>
    <w:rsid w:val="7FBF0825"/>
    <w:rsid w:val="7FBF13F4"/>
    <w:rsid w:val="7FBF50DB"/>
    <w:rsid w:val="7FBF6BC8"/>
    <w:rsid w:val="7FC20D7E"/>
    <w:rsid w:val="7FC462AE"/>
    <w:rsid w:val="7FCBCEE3"/>
    <w:rsid w:val="7FCDC91B"/>
    <w:rsid w:val="7FD6DAF8"/>
    <w:rsid w:val="7FDB005A"/>
    <w:rsid w:val="7FDBCDBD"/>
    <w:rsid w:val="7FDCCC6E"/>
    <w:rsid w:val="7FDD0099"/>
    <w:rsid w:val="7FDE6493"/>
    <w:rsid w:val="7FDF43E4"/>
    <w:rsid w:val="7FDF7EBE"/>
    <w:rsid w:val="7FDF89A0"/>
    <w:rsid w:val="7FDFD729"/>
    <w:rsid w:val="7FE107EF"/>
    <w:rsid w:val="7FE44C69"/>
    <w:rsid w:val="7FE720BC"/>
    <w:rsid w:val="7FEACF45"/>
    <w:rsid w:val="7FEE3785"/>
    <w:rsid w:val="7FEEDAF3"/>
    <w:rsid w:val="7FEF15B1"/>
    <w:rsid w:val="7FEFA8B0"/>
    <w:rsid w:val="7FF315E3"/>
    <w:rsid w:val="7FF56CF6"/>
    <w:rsid w:val="7FF77D3E"/>
    <w:rsid w:val="7FFA0CF7"/>
    <w:rsid w:val="7FFB015B"/>
    <w:rsid w:val="7FFB12EA"/>
    <w:rsid w:val="7FFB49F8"/>
    <w:rsid w:val="7FFBE36F"/>
    <w:rsid w:val="7FFC7506"/>
    <w:rsid w:val="7FFC8800"/>
    <w:rsid w:val="7FFC9E69"/>
    <w:rsid w:val="7FFE6E62"/>
    <w:rsid w:val="7FFEDC2B"/>
    <w:rsid w:val="7FFF5364"/>
    <w:rsid w:val="7FFF6C13"/>
    <w:rsid w:val="7FFFD85A"/>
    <w:rsid w:val="7FFFEFEC"/>
    <w:rsid w:val="83C64CE2"/>
    <w:rsid w:val="83FB8BA7"/>
    <w:rsid w:val="84E77A91"/>
    <w:rsid w:val="8A5DD592"/>
    <w:rsid w:val="8E5B5210"/>
    <w:rsid w:val="8E5BB8E3"/>
    <w:rsid w:val="8EDF5774"/>
    <w:rsid w:val="8F767048"/>
    <w:rsid w:val="8F7F2FB1"/>
    <w:rsid w:val="8F9F56D8"/>
    <w:rsid w:val="8FEFF593"/>
    <w:rsid w:val="8FFD72DB"/>
    <w:rsid w:val="8FFF0BC8"/>
    <w:rsid w:val="94977079"/>
    <w:rsid w:val="95BB9693"/>
    <w:rsid w:val="96FC39D8"/>
    <w:rsid w:val="97EF9AA0"/>
    <w:rsid w:val="9ABF4E41"/>
    <w:rsid w:val="9ACFF1B3"/>
    <w:rsid w:val="9B7FD351"/>
    <w:rsid w:val="9BEFE717"/>
    <w:rsid w:val="9BFA0724"/>
    <w:rsid w:val="9D6F9F88"/>
    <w:rsid w:val="9D71457A"/>
    <w:rsid w:val="9DB5000A"/>
    <w:rsid w:val="9DBF2A14"/>
    <w:rsid w:val="9DED3076"/>
    <w:rsid w:val="9DFDCEDA"/>
    <w:rsid w:val="9E6F6EF5"/>
    <w:rsid w:val="9EBD9184"/>
    <w:rsid w:val="9F6A5B10"/>
    <w:rsid w:val="9FB718B1"/>
    <w:rsid w:val="9FBF824B"/>
    <w:rsid w:val="9FDFB4B3"/>
    <w:rsid w:val="9FEB2198"/>
    <w:rsid w:val="9FFB5E79"/>
    <w:rsid w:val="9FFD5DCA"/>
    <w:rsid w:val="A6FEEAF1"/>
    <w:rsid w:val="A70F163D"/>
    <w:rsid w:val="A9EF976D"/>
    <w:rsid w:val="ABAFACA9"/>
    <w:rsid w:val="ABDC43DE"/>
    <w:rsid w:val="ABF6AC92"/>
    <w:rsid w:val="ABFFDD8E"/>
    <w:rsid w:val="ADAF4B79"/>
    <w:rsid w:val="ADB493C9"/>
    <w:rsid w:val="ADBF60D2"/>
    <w:rsid w:val="ADFA8826"/>
    <w:rsid w:val="ADFEDB17"/>
    <w:rsid w:val="AEDB3F7F"/>
    <w:rsid w:val="AEEC3FCD"/>
    <w:rsid w:val="AEF604C2"/>
    <w:rsid w:val="AF353C7E"/>
    <w:rsid w:val="AF7C12F8"/>
    <w:rsid w:val="AFB70EA9"/>
    <w:rsid w:val="AFB7888A"/>
    <w:rsid w:val="AFEC80CD"/>
    <w:rsid w:val="AFEFC08D"/>
    <w:rsid w:val="AFF70039"/>
    <w:rsid w:val="AFFF2F4B"/>
    <w:rsid w:val="B1C884B2"/>
    <w:rsid w:val="B1DEFFEC"/>
    <w:rsid w:val="B39A01AF"/>
    <w:rsid w:val="B3CF0FBE"/>
    <w:rsid w:val="B3DF7ECD"/>
    <w:rsid w:val="B48FFAD2"/>
    <w:rsid w:val="B4DEC3B1"/>
    <w:rsid w:val="B57F78CB"/>
    <w:rsid w:val="B6AF6722"/>
    <w:rsid w:val="B6AF94E6"/>
    <w:rsid w:val="B6CFDE03"/>
    <w:rsid w:val="B74FBE17"/>
    <w:rsid w:val="B77BFDC2"/>
    <w:rsid w:val="B77E2733"/>
    <w:rsid w:val="B7AD951C"/>
    <w:rsid w:val="B7B70093"/>
    <w:rsid w:val="B7CFCA6C"/>
    <w:rsid w:val="B7DF775A"/>
    <w:rsid w:val="B7E75B4F"/>
    <w:rsid w:val="B7F94C14"/>
    <w:rsid w:val="B7FE4216"/>
    <w:rsid w:val="B7FFD843"/>
    <w:rsid w:val="BA7325A6"/>
    <w:rsid w:val="BAA94E6C"/>
    <w:rsid w:val="BB703B28"/>
    <w:rsid w:val="BB7E8EBF"/>
    <w:rsid w:val="BB7F6C12"/>
    <w:rsid w:val="BBAB8448"/>
    <w:rsid w:val="BBB70EBF"/>
    <w:rsid w:val="BBBF8CC8"/>
    <w:rsid w:val="BBDFECD3"/>
    <w:rsid w:val="BBF73F15"/>
    <w:rsid w:val="BBFD3D0B"/>
    <w:rsid w:val="BBFF02D4"/>
    <w:rsid w:val="BCBAC64F"/>
    <w:rsid w:val="BCFF16FF"/>
    <w:rsid w:val="BD2FAB17"/>
    <w:rsid w:val="BD9F73DD"/>
    <w:rsid w:val="BDDB04C1"/>
    <w:rsid w:val="BDE31BA8"/>
    <w:rsid w:val="BDF6DEB6"/>
    <w:rsid w:val="BDFE2896"/>
    <w:rsid w:val="BDFF9399"/>
    <w:rsid w:val="BDFFB5C9"/>
    <w:rsid w:val="BE90FB9E"/>
    <w:rsid w:val="BEC74359"/>
    <w:rsid w:val="BEDBF8F1"/>
    <w:rsid w:val="BEFE116F"/>
    <w:rsid w:val="BF3E7959"/>
    <w:rsid w:val="BF3FBE18"/>
    <w:rsid w:val="BF579DB6"/>
    <w:rsid w:val="BF5A54E3"/>
    <w:rsid w:val="BF5FE719"/>
    <w:rsid w:val="BF9F2123"/>
    <w:rsid w:val="BFCED543"/>
    <w:rsid w:val="BFD38DC9"/>
    <w:rsid w:val="BFDF36A9"/>
    <w:rsid w:val="BFEFDE49"/>
    <w:rsid w:val="BFEFF903"/>
    <w:rsid w:val="BFF31C5C"/>
    <w:rsid w:val="BFFB502A"/>
    <w:rsid w:val="BFFE3E6B"/>
    <w:rsid w:val="BFFF325B"/>
    <w:rsid w:val="BFFF5A8E"/>
    <w:rsid w:val="BFFF7071"/>
    <w:rsid w:val="BFFFBB2D"/>
    <w:rsid w:val="BFFFCB95"/>
    <w:rsid w:val="C37DC256"/>
    <w:rsid w:val="C4DF29B0"/>
    <w:rsid w:val="C5AFBA56"/>
    <w:rsid w:val="C67FD789"/>
    <w:rsid w:val="C7EB14C1"/>
    <w:rsid w:val="C9DF0DC9"/>
    <w:rsid w:val="CDCF8537"/>
    <w:rsid w:val="CEEF4B0B"/>
    <w:rsid w:val="CEF53580"/>
    <w:rsid w:val="CEF74A20"/>
    <w:rsid w:val="CEF9A625"/>
    <w:rsid w:val="CF2EC4F0"/>
    <w:rsid w:val="CF7DBE90"/>
    <w:rsid w:val="CF7E89A3"/>
    <w:rsid w:val="CF9D0F6E"/>
    <w:rsid w:val="CFEF46E2"/>
    <w:rsid w:val="CFF89CB3"/>
    <w:rsid w:val="CFFE988D"/>
    <w:rsid w:val="CFFEBAA9"/>
    <w:rsid w:val="D1F79A4A"/>
    <w:rsid w:val="D2510306"/>
    <w:rsid w:val="D3F7F95A"/>
    <w:rsid w:val="D47F056B"/>
    <w:rsid w:val="D4DF6BFC"/>
    <w:rsid w:val="D57F3AFA"/>
    <w:rsid w:val="D5ABE0CC"/>
    <w:rsid w:val="D5AEE8BB"/>
    <w:rsid w:val="D5BFC667"/>
    <w:rsid w:val="D5EEA5A1"/>
    <w:rsid w:val="D67B4253"/>
    <w:rsid w:val="D67F418A"/>
    <w:rsid w:val="D6AE6A63"/>
    <w:rsid w:val="D6FFA038"/>
    <w:rsid w:val="D76B646E"/>
    <w:rsid w:val="D79CE5B9"/>
    <w:rsid w:val="D7A0E979"/>
    <w:rsid w:val="D7BEBDEF"/>
    <w:rsid w:val="D7CA9485"/>
    <w:rsid w:val="D7CD58E5"/>
    <w:rsid w:val="D7DE4EE9"/>
    <w:rsid w:val="D7E86ED2"/>
    <w:rsid w:val="D7EF77A7"/>
    <w:rsid w:val="D7FE89F3"/>
    <w:rsid w:val="D8BE97FC"/>
    <w:rsid w:val="D8FB32F6"/>
    <w:rsid w:val="D90A6B8A"/>
    <w:rsid w:val="D9309128"/>
    <w:rsid w:val="D99B6D6C"/>
    <w:rsid w:val="D99F762C"/>
    <w:rsid w:val="D9EE2129"/>
    <w:rsid w:val="D9FF3C5A"/>
    <w:rsid w:val="DA571493"/>
    <w:rsid w:val="DAF6CD66"/>
    <w:rsid w:val="DB67798F"/>
    <w:rsid w:val="DB7B38AB"/>
    <w:rsid w:val="DB9F2A96"/>
    <w:rsid w:val="DBBF591F"/>
    <w:rsid w:val="DBDD1312"/>
    <w:rsid w:val="DBEFFC2B"/>
    <w:rsid w:val="DBFE4081"/>
    <w:rsid w:val="DBFF0514"/>
    <w:rsid w:val="DBFF6D76"/>
    <w:rsid w:val="DBFF7C96"/>
    <w:rsid w:val="DBFFBBA6"/>
    <w:rsid w:val="DCEFE52D"/>
    <w:rsid w:val="DD7741C8"/>
    <w:rsid w:val="DD7AAFB6"/>
    <w:rsid w:val="DD7F2835"/>
    <w:rsid w:val="DDCF8143"/>
    <w:rsid w:val="DDDF6610"/>
    <w:rsid w:val="DDE9365F"/>
    <w:rsid w:val="DDEF768E"/>
    <w:rsid w:val="DEFFAED1"/>
    <w:rsid w:val="DEFFE492"/>
    <w:rsid w:val="DF6ED9B2"/>
    <w:rsid w:val="DF7DF02F"/>
    <w:rsid w:val="DF7E2FA7"/>
    <w:rsid w:val="DF7EB36D"/>
    <w:rsid w:val="DF7F4C28"/>
    <w:rsid w:val="DFAF3050"/>
    <w:rsid w:val="DFB338DC"/>
    <w:rsid w:val="DFCFA34F"/>
    <w:rsid w:val="DFD685D2"/>
    <w:rsid w:val="DFD7D526"/>
    <w:rsid w:val="DFDB14E8"/>
    <w:rsid w:val="DFDB4D9E"/>
    <w:rsid w:val="DFDCDEBF"/>
    <w:rsid w:val="DFDF1A23"/>
    <w:rsid w:val="DFEE11BA"/>
    <w:rsid w:val="DFF5E810"/>
    <w:rsid w:val="DFF79388"/>
    <w:rsid w:val="DFF7B59A"/>
    <w:rsid w:val="DFF7DAD8"/>
    <w:rsid w:val="DFFE9C03"/>
    <w:rsid w:val="DFFF9F84"/>
    <w:rsid w:val="E2DFF0AF"/>
    <w:rsid w:val="E3F3EE1C"/>
    <w:rsid w:val="E3FF9A2C"/>
    <w:rsid w:val="E67716F9"/>
    <w:rsid w:val="E71B16B5"/>
    <w:rsid w:val="E7571B89"/>
    <w:rsid w:val="E75EA79B"/>
    <w:rsid w:val="E76FC1D1"/>
    <w:rsid w:val="E77F9F4A"/>
    <w:rsid w:val="E7D29226"/>
    <w:rsid w:val="E7FE1DE4"/>
    <w:rsid w:val="E7FF3EFA"/>
    <w:rsid w:val="E9C7B900"/>
    <w:rsid w:val="E9FA3F4D"/>
    <w:rsid w:val="E9FEBB13"/>
    <w:rsid w:val="EA3772A0"/>
    <w:rsid w:val="EA6E231A"/>
    <w:rsid w:val="EAF9E1BC"/>
    <w:rsid w:val="EB1BA6D4"/>
    <w:rsid w:val="EB1D0554"/>
    <w:rsid w:val="EBAF76F3"/>
    <w:rsid w:val="EBD5BB97"/>
    <w:rsid w:val="EBFC7667"/>
    <w:rsid w:val="EBFDE433"/>
    <w:rsid w:val="EBFF15BE"/>
    <w:rsid w:val="EBFFEB6B"/>
    <w:rsid w:val="EC1F1BDA"/>
    <w:rsid w:val="EC9B86A8"/>
    <w:rsid w:val="ECAF3791"/>
    <w:rsid w:val="ECDF5D88"/>
    <w:rsid w:val="ECF82375"/>
    <w:rsid w:val="ECFDCBE4"/>
    <w:rsid w:val="ED48E9D9"/>
    <w:rsid w:val="ED9A8099"/>
    <w:rsid w:val="ED9F95DE"/>
    <w:rsid w:val="EDBBBAD1"/>
    <w:rsid w:val="EDBE1D7F"/>
    <w:rsid w:val="EDBF9355"/>
    <w:rsid w:val="EDDDD6E1"/>
    <w:rsid w:val="EDE578B6"/>
    <w:rsid w:val="EDEBEAE0"/>
    <w:rsid w:val="EDFF80AB"/>
    <w:rsid w:val="EE6FFD9A"/>
    <w:rsid w:val="EE76C035"/>
    <w:rsid w:val="EE7BD119"/>
    <w:rsid w:val="EE9FED4A"/>
    <w:rsid w:val="EEFFFAC3"/>
    <w:rsid w:val="EF6553B2"/>
    <w:rsid w:val="EF6B61FC"/>
    <w:rsid w:val="EF7D40CE"/>
    <w:rsid w:val="EF7FC781"/>
    <w:rsid w:val="EFB3900D"/>
    <w:rsid w:val="EFBB272A"/>
    <w:rsid w:val="EFBBF919"/>
    <w:rsid w:val="EFBEF36D"/>
    <w:rsid w:val="EFDE3C00"/>
    <w:rsid w:val="EFDF8687"/>
    <w:rsid w:val="EFDF8FE7"/>
    <w:rsid w:val="EFDFBFD6"/>
    <w:rsid w:val="EFEF40B8"/>
    <w:rsid w:val="EFF66323"/>
    <w:rsid w:val="EFF6F0DB"/>
    <w:rsid w:val="EFF72845"/>
    <w:rsid w:val="EFF753EF"/>
    <w:rsid w:val="EFF92C70"/>
    <w:rsid w:val="EFFA637E"/>
    <w:rsid w:val="EFFBA05E"/>
    <w:rsid w:val="EFFBB762"/>
    <w:rsid w:val="EFFE95A8"/>
    <w:rsid w:val="EFFF3B38"/>
    <w:rsid w:val="EFFF7FCD"/>
    <w:rsid w:val="EFFF8DC5"/>
    <w:rsid w:val="F1DF2D4B"/>
    <w:rsid w:val="F1E77730"/>
    <w:rsid w:val="F1F4D70E"/>
    <w:rsid w:val="F1F82083"/>
    <w:rsid w:val="F2769E78"/>
    <w:rsid w:val="F34B422E"/>
    <w:rsid w:val="F367C03D"/>
    <w:rsid w:val="F36A2705"/>
    <w:rsid w:val="F37F5296"/>
    <w:rsid w:val="F3BF13B9"/>
    <w:rsid w:val="F3D6367B"/>
    <w:rsid w:val="F3D7660F"/>
    <w:rsid w:val="F3DDD5A6"/>
    <w:rsid w:val="F3EA979A"/>
    <w:rsid w:val="F3EE8B2E"/>
    <w:rsid w:val="F3FC3363"/>
    <w:rsid w:val="F45FBBD3"/>
    <w:rsid w:val="F467BC83"/>
    <w:rsid w:val="F4DF8DC2"/>
    <w:rsid w:val="F4FF43D3"/>
    <w:rsid w:val="F53F7CEC"/>
    <w:rsid w:val="F545D802"/>
    <w:rsid w:val="F55D7B59"/>
    <w:rsid w:val="F569C99A"/>
    <w:rsid w:val="F57F0E53"/>
    <w:rsid w:val="F5D40017"/>
    <w:rsid w:val="F5FC18A6"/>
    <w:rsid w:val="F63AD483"/>
    <w:rsid w:val="F659AE1B"/>
    <w:rsid w:val="F687E2EE"/>
    <w:rsid w:val="F6BE0E64"/>
    <w:rsid w:val="F6DE78D6"/>
    <w:rsid w:val="F6F978EF"/>
    <w:rsid w:val="F6FF396F"/>
    <w:rsid w:val="F73B556E"/>
    <w:rsid w:val="F73F0EE1"/>
    <w:rsid w:val="F79F4782"/>
    <w:rsid w:val="F7BA66D7"/>
    <w:rsid w:val="F7BF826F"/>
    <w:rsid w:val="F7BFAB48"/>
    <w:rsid w:val="F7C1AA81"/>
    <w:rsid w:val="F7DE9FEA"/>
    <w:rsid w:val="F7EE40C9"/>
    <w:rsid w:val="F7EFD093"/>
    <w:rsid w:val="F7FB4E3B"/>
    <w:rsid w:val="F7FD04CD"/>
    <w:rsid w:val="F7FF14DC"/>
    <w:rsid w:val="F7FF96AB"/>
    <w:rsid w:val="F7FFE5CF"/>
    <w:rsid w:val="F8DFD693"/>
    <w:rsid w:val="F8FA12CA"/>
    <w:rsid w:val="F931984D"/>
    <w:rsid w:val="F9573895"/>
    <w:rsid w:val="F9754DB1"/>
    <w:rsid w:val="F9B6AEE7"/>
    <w:rsid w:val="F9D993C9"/>
    <w:rsid w:val="F9DF6533"/>
    <w:rsid w:val="F9EE933A"/>
    <w:rsid w:val="F9FC62D2"/>
    <w:rsid w:val="F9FD2D2E"/>
    <w:rsid w:val="F9FFAFD7"/>
    <w:rsid w:val="FA7CAE91"/>
    <w:rsid w:val="FABF016C"/>
    <w:rsid w:val="FAED5AF0"/>
    <w:rsid w:val="FAEF58FC"/>
    <w:rsid w:val="FAF34986"/>
    <w:rsid w:val="FAFFB9F7"/>
    <w:rsid w:val="FB3E5CA9"/>
    <w:rsid w:val="FB49B02B"/>
    <w:rsid w:val="FB668C11"/>
    <w:rsid w:val="FB7BAF77"/>
    <w:rsid w:val="FB7F3C99"/>
    <w:rsid w:val="FB7FC62A"/>
    <w:rsid w:val="FB7FE253"/>
    <w:rsid w:val="FBA52693"/>
    <w:rsid w:val="FBAB2E0F"/>
    <w:rsid w:val="FBBE1BE1"/>
    <w:rsid w:val="FBBF93C2"/>
    <w:rsid w:val="FBBFEC68"/>
    <w:rsid w:val="FBD8728E"/>
    <w:rsid w:val="FBDB294E"/>
    <w:rsid w:val="FBDCA3C5"/>
    <w:rsid w:val="FBEF9BFF"/>
    <w:rsid w:val="FBF33D9A"/>
    <w:rsid w:val="FBF364EC"/>
    <w:rsid w:val="FBFD62C1"/>
    <w:rsid w:val="FBFEC570"/>
    <w:rsid w:val="FBFF8010"/>
    <w:rsid w:val="FBFF87BB"/>
    <w:rsid w:val="FC1744E3"/>
    <w:rsid w:val="FC7C94A2"/>
    <w:rsid w:val="FC7C997C"/>
    <w:rsid w:val="FCB7A808"/>
    <w:rsid w:val="FCC2A4CA"/>
    <w:rsid w:val="FCDFEF94"/>
    <w:rsid w:val="FCFDC808"/>
    <w:rsid w:val="FCFE0316"/>
    <w:rsid w:val="FD1B1DDF"/>
    <w:rsid w:val="FD3BD2D6"/>
    <w:rsid w:val="FD3FEBBF"/>
    <w:rsid w:val="FD4A30F9"/>
    <w:rsid w:val="FD657D98"/>
    <w:rsid w:val="FD755F63"/>
    <w:rsid w:val="FD759810"/>
    <w:rsid w:val="FD7C9415"/>
    <w:rsid w:val="FD7DA431"/>
    <w:rsid w:val="FD87C077"/>
    <w:rsid w:val="FD98C2E2"/>
    <w:rsid w:val="FD9ABFBB"/>
    <w:rsid w:val="FDAAAE4F"/>
    <w:rsid w:val="FDAEDF8C"/>
    <w:rsid w:val="FDBC684C"/>
    <w:rsid w:val="FDD3D10D"/>
    <w:rsid w:val="FDD3FF43"/>
    <w:rsid w:val="FDD759A6"/>
    <w:rsid w:val="FDDAE253"/>
    <w:rsid w:val="FDDD30A3"/>
    <w:rsid w:val="FDE6FBE5"/>
    <w:rsid w:val="FDEF9553"/>
    <w:rsid w:val="FDFAFB50"/>
    <w:rsid w:val="FDFB8B66"/>
    <w:rsid w:val="FDFBE060"/>
    <w:rsid w:val="FDFC294A"/>
    <w:rsid w:val="FDFCCFFC"/>
    <w:rsid w:val="FDFF4A98"/>
    <w:rsid w:val="FDFF5513"/>
    <w:rsid w:val="FDFF8BEC"/>
    <w:rsid w:val="FDFFD574"/>
    <w:rsid w:val="FDFFE9D6"/>
    <w:rsid w:val="FE371A0D"/>
    <w:rsid w:val="FE6E43E5"/>
    <w:rsid w:val="FE6F8800"/>
    <w:rsid w:val="FE7FFE9D"/>
    <w:rsid w:val="FE8A7546"/>
    <w:rsid w:val="FEB18661"/>
    <w:rsid w:val="FEBF005F"/>
    <w:rsid w:val="FEBFBA54"/>
    <w:rsid w:val="FEE57BEB"/>
    <w:rsid w:val="FEEE8634"/>
    <w:rsid w:val="FEEF0321"/>
    <w:rsid w:val="FEEF5EF5"/>
    <w:rsid w:val="FEF79752"/>
    <w:rsid w:val="FEF82B05"/>
    <w:rsid w:val="FEF8F4DC"/>
    <w:rsid w:val="FEFA1399"/>
    <w:rsid w:val="FEFA5798"/>
    <w:rsid w:val="FEFC057B"/>
    <w:rsid w:val="FEFE810C"/>
    <w:rsid w:val="FEFF888D"/>
    <w:rsid w:val="FF1A3D98"/>
    <w:rsid w:val="FF3EC2C4"/>
    <w:rsid w:val="FF3F06DA"/>
    <w:rsid w:val="FF68A874"/>
    <w:rsid w:val="FF6D064C"/>
    <w:rsid w:val="FF6F6DC3"/>
    <w:rsid w:val="FF6FD83C"/>
    <w:rsid w:val="FF7ADF67"/>
    <w:rsid w:val="FF7D5E22"/>
    <w:rsid w:val="FF7D90BC"/>
    <w:rsid w:val="FF7FA1ED"/>
    <w:rsid w:val="FF7FFDE9"/>
    <w:rsid w:val="FF9B4F05"/>
    <w:rsid w:val="FF9FC3F4"/>
    <w:rsid w:val="FFAB95FC"/>
    <w:rsid w:val="FFABC28E"/>
    <w:rsid w:val="FFACFED7"/>
    <w:rsid w:val="FFAF42B8"/>
    <w:rsid w:val="FFBAEB6B"/>
    <w:rsid w:val="FFBBB60B"/>
    <w:rsid w:val="FFBBF760"/>
    <w:rsid w:val="FFBDADDE"/>
    <w:rsid w:val="FFBF4A10"/>
    <w:rsid w:val="FFBF8777"/>
    <w:rsid w:val="FFBF9573"/>
    <w:rsid w:val="FFCF56BF"/>
    <w:rsid w:val="FFD651D9"/>
    <w:rsid w:val="FFDF7F2F"/>
    <w:rsid w:val="FFE51B10"/>
    <w:rsid w:val="FFE7BF18"/>
    <w:rsid w:val="FFEEB05D"/>
    <w:rsid w:val="FFEF22E1"/>
    <w:rsid w:val="FFEFAFE6"/>
    <w:rsid w:val="FFEFDB70"/>
    <w:rsid w:val="FFF533AD"/>
    <w:rsid w:val="FFF55EF7"/>
    <w:rsid w:val="FFF5C500"/>
    <w:rsid w:val="FFF730B5"/>
    <w:rsid w:val="FFF7C766"/>
    <w:rsid w:val="FFFAC10F"/>
    <w:rsid w:val="FFFAF302"/>
    <w:rsid w:val="FFFB05D5"/>
    <w:rsid w:val="FFFBB57C"/>
    <w:rsid w:val="FFFC992D"/>
    <w:rsid w:val="FFFD1284"/>
    <w:rsid w:val="FFFD5F7B"/>
    <w:rsid w:val="FFFD97E4"/>
    <w:rsid w:val="FFFE26DF"/>
    <w:rsid w:val="FFFE3174"/>
    <w:rsid w:val="FFFF07A8"/>
    <w:rsid w:val="FFFF8A97"/>
    <w:rsid w:val="FFFFC727"/>
    <w:rsid w:val="FFFFF37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name="Normal Indent"/>
    <w:lsdException w:qFormat="1" w:unhideWhenUsed="0" w:uiPriority="99"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3">
    <w:name w:val="heading 1"/>
    <w:basedOn w:val="1"/>
    <w:next w:val="1"/>
    <w:qFormat/>
    <w:uiPriority w:val="0"/>
    <w:pPr>
      <w:keepNext/>
      <w:keepLines/>
      <w:widowControl w:val="0"/>
      <w:spacing w:line="360" w:lineRule="auto"/>
      <w:ind w:firstLine="420" w:firstLineChars="200"/>
      <w:jc w:val="both"/>
      <w:outlineLvl w:val="0"/>
    </w:pPr>
    <w:rPr>
      <w:rFonts w:ascii="黑体" w:hAnsi="黑体" w:eastAsia="黑体" w:cs="Times New Roman"/>
      <w:kern w:val="44"/>
      <w:sz w:val="32"/>
    </w:rPr>
  </w:style>
  <w:style w:type="paragraph" w:styleId="4">
    <w:name w:val="heading 2"/>
    <w:basedOn w:val="1"/>
    <w:next w:val="1"/>
    <w:qFormat/>
    <w:uiPriority w:val="0"/>
    <w:pPr>
      <w:keepNext/>
      <w:keepLines/>
      <w:widowControl w:val="0"/>
      <w:spacing w:line="360" w:lineRule="auto"/>
      <w:ind w:firstLine="1044" w:firstLineChars="200"/>
      <w:jc w:val="both"/>
      <w:outlineLvl w:val="1"/>
    </w:pPr>
    <w:rPr>
      <w:rFonts w:ascii="微软雅黑" w:hAnsi="微软雅黑" w:eastAsia="楷体"/>
      <w:b/>
      <w:kern w:val="2"/>
      <w:sz w:val="32"/>
    </w:rPr>
  </w:style>
  <w:style w:type="paragraph" w:styleId="5">
    <w:name w:val="heading 3"/>
    <w:basedOn w:val="1"/>
    <w:next w:val="1"/>
    <w:unhideWhenUsed/>
    <w:qFormat/>
    <w:uiPriority w:val="0"/>
    <w:pPr>
      <w:keepNext/>
      <w:keepLines/>
      <w:widowControl w:val="0"/>
      <w:spacing w:before="260" w:after="260" w:line="413" w:lineRule="auto"/>
      <w:jc w:val="both"/>
      <w:outlineLvl w:val="2"/>
    </w:pPr>
    <w:rPr>
      <w:rFonts w:ascii="Calibri" w:hAnsi="Calibri"/>
      <w:b/>
      <w:kern w:val="2"/>
      <w:sz w:val="32"/>
    </w:rPr>
  </w:style>
  <w:style w:type="paragraph" w:styleId="6">
    <w:name w:val="heading 4"/>
    <w:basedOn w:val="1"/>
    <w:next w:val="1"/>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2">
    <w:name w:val="Default Paragraph Font"/>
    <w:unhideWhenUsed/>
    <w:qFormat/>
    <w:uiPriority w:val="1"/>
  </w:style>
  <w:style w:type="table" w:default="1" w:styleId="2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Title"/>
    <w:basedOn w:val="1"/>
    <w:next w:val="1"/>
    <w:qFormat/>
    <w:uiPriority w:val="0"/>
    <w:pPr>
      <w:adjustRightInd w:val="0"/>
      <w:snapToGrid w:val="0"/>
      <w:spacing w:line="360" w:lineRule="auto"/>
      <w:ind w:firstLine="800" w:firstLineChars="200"/>
      <w:jc w:val="left"/>
      <w:outlineLvl w:val="0"/>
    </w:pPr>
    <w:rPr>
      <w:rFonts w:ascii="Arial" w:hAnsi="Arial" w:eastAsia="仿宋"/>
      <w:sz w:val="32"/>
      <w:szCs w:val="32"/>
    </w:rPr>
  </w:style>
  <w:style w:type="paragraph" w:styleId="7">
    <w:name w:val="annotation subject"/>
    <w:basedOn w:val="8"/>
    <w:next w:val="8"/>
    <w:link w:val="36"/>
    <w:qFormat/>
    <w:uiPriority w:val="0"/>
    <w:rPr>
      <w:b/>
      <w:bCs/>
    </w:rPr>
  </w:style>
  <w:style w:type="paragraph" w:styleId="8">
    <w:name w:val="annotation text"/>
    <w:basedOn w:val="1"/>
    <w:link w:val="35"/>
    <w:qFormat/>
    <w:uiPriority w:val="99"/>
    <w:pPr>
      <w:widowControl w:val="0"/>
    </w:pPr>
    <w:rPr>
      <w:rFonts w:ascii="Calibri" w:hAnsi="Calibri"/>
      <w:kern w:val="2"/>
      <w:sz w:val="21"/>
    </w:rPr>
  </w:style>
  <w:style w:type="paragraph" w:styleId="9">
    <w:name w:val="Normal Indent"/>
    <w:basedOn w:val="1"/>
    <w:semiHidden/>
    <w:qFormat/>
    <w:uiPriority w:val="99"/>
    <w:pPr>
      <w:ind w:firstLine="420" w:firstLineChars="200"/>
    </w:pPr>
  </w:style>
  <w:style w:type="paragraph" w:styleId="10">
    <w:name w:val="Body Text"/>
    <w:basedOn w:val="1"/>
    <w:qFormat/>
    <w:uiPriority w:val="0"/>
    <w:pPr>
      <w:autoSpaceDE w:val="0"/>
      <w:autoSpaceDN w:val="0"/>
      <w:adjustRightInd w:val="0"/>
      <w:snapToGrid w:val="0"/>
      <w:spacing w:line="600" w:lineRule="atLeast"/>
    </w:pPr>
    <w:rPr>
      <w:rFonts w:ascii="宋体"/>
      <w:spacing w:val="5"/>
      <w:kern w:val="0"/>
      <w:sz w:val="32"/>
      <w:szCs w:val="20"/>
    </w:rPr>
  </w:style>
  <w:style w:type="paragraph" w:styleId="11">
    <w:name w:val="Body Text Indent"/>
    <w:basedOn w:val="1"/>
    <w:next w:val="9"/>
    <w:link w:val="44"/>
    <w:qFormat/>
    <w:uiPriority w:val="99"/>
    <w:pPr>
      <w:widowControl w:val="0"/>
      <w:spacing w:after="120"/>
      <w:ind w:left="420" w:leftChars="200"/>
      <w:jc w:val="both"/>
    </w:pPr>
    <w:rPr>
      <w:rFonts w:ascii="Calibri" w:hAnsi="Calibri"/>
      <w:kern w:val="2"/>
      <w:sz w:val="21"/>
    </w:rPr>
  </w:style>
  <w:style w:type="paragraph" w:styleId="12">
    <w:name w:val="Body Text Indent 2"/>
    <w:basedOn w:val="1"/>
    <w:qFormat/>
    <w:uiPriority w:val="0"/>
    <w:pPr>
      <w:spacing w:after="120" w:line="480" w:lineRule="auto"/>
      <w:ind w:left="420" w:leftChars="200"/>
    </w:pPr>
  </w:style>
  <w:style w:type="paragraph" w:styleId="13">
    <w:name w:val="Balloon Text"/>
    <w:basedOn w:val="1"/>
    <w:link w:val="37"/>
    <w:qFormat/>
    <w:uiPriority w:val="0"/>
    <w:pPr>
      <w:widowControl w:val="0"/>
      <w:jc w:val="both"/>
    </w:pPr>
    <w:rPr>
      <w:rFonts w:hAnsi="Calibri"/>
      <w:kern w:val="2"/>
      <w:sz w:val="18"/>
      <w:szCs w:val="18"/>
    </w:rPr>
  </w:style>
  <w:style w:type="paragraph" w:styleId="14">
    <w:name w:val="footer"/>
    <w:basedOn w:val="1"/>
    <w:link w:val="56"/>
    <w:qFormat/>
    <w:uiPriority w:val="99"/>
    <w:pPr>
      <w:widowControl w:val="0"/>
      <w:tabs>
        <w:tab w:val="center" w:pos="4153"/>
        <w:tab w:val="right" w:pos="8306"/>
      </w:tabs>
      <w:wordWrap w:val="0"/>
      <w:snapToGrid w:val="0"/>
    </w:pPr>
    <w:rPr>
      <w:rFonts w:ascii="仿宋" w:hAnsi="Calibri" w:eastAsia="仿宋"/>
      <w:kern w:val="2"/>
      <w:sz w:val="18"/>
    </w:rPr>
  </w:style>
  <w:style w:type="paragraph" w:styleId="15">
    <w:name w:val="Body Text First Indent 2"/>
    <w:basedOn w:val="11"/>
    <w:qFormat/>
    <w:uiPriority w:val="99"/>
    <w:pPr>
      <w:widowControl/>
      <w:wordWrap w:val="0"/>
      <w:overflowPunct w:val="0"/>
      <w:autoSpaceDE w:val="0"/>
      <w:autoSpaceDN w:val="0"/>
      <w:adjustRightInd w:val="0"/>
      <w:ind w:firstLine="420" w:firstLineChars="200"/>
      <w:textAlignment w:val="baseline"/>
    </w:pPr>
    <w:rPr>
      <w:rFonts w:cs="Times New Roman"/>
      <w:kern w:val="0"/>
      <w:szCs w:val="21"/>
    </w:rPr>
  </w:style>
  <w:style w:type="paragraph" w:styleId="16">
    <w:name w:val="header"/>
    <w:basedOn w:val="1"/>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wordWrap w:val="0"/>
      <w:snapToGrid w:val="0"/>
      <w:jc w:val="both"/>
    </w:pPr>
    <w:rPr>
      <w:rFonts w:ascii="仿宋" w:hAnsi="Calibri" w:eastAsia="仿宋"/>
      <w:kern w:val="2"/>
      <w:sz w:val="18"/>
    </w:rPr>
  </w:style>
  <w:style w:type="paragraph" w:styleId="17">
    <w:name w:val="toc 1"/>
    <w:basedOn w:val="1"/>
    <w:next w:val="1"/>
    <w:qFormat/>
    <w:uiPriority w:val="0"/>
    <w:pPr>
      <w:widowControl w:val="0"/>
      <w:jc w:val="both"/>
    </w:pPr>
    <w:rPr>
      <w:rFonts w:ascii="Calibri" w:hAnsi="Calibri"/>
      <w:kern w:val="2"/>
      <w:sz w:val="21"/>
    </w:rPr>
  </w:style>
  <w:style w:type="paragraph" w:styleId="18">
    <w:name w:val="footnote text"/>
    <w:basedOn w:val="1"/>
    <w:link w:val="48"/>
    <w:qFormat/>
    <w:uiPriority w:val="99"/>
    <w:pPr>
      <w:widowControl w:val="0"/>
      <w:snapToGrid w:val="0"/>
    </w:pPr>
    <w:rPr>
      <w:rFonts w:ascii="Calibri" w:hAnsi="Calibri"/>
      <w:kern w:val="2"/>
      <w:sz w:val="18"/>
    </w:rPr>
  </w:style>
  <w:style w:type="paragraph" w:styleId="19">
    <w:name w:val="toc 2"/>
    <w:basedOn w:val="1"/>
    <w:next w:val="1"/>
    <w:qFormat/>
    <w:uiPriority w:val="0"/>
    <w:pPr>
      <w:widowControl w:val="0"/>
      <w:ind w:left="420" w:leftChars="200"/>
      <w:jc w:val="both"/>
    </w:pPr>
    <w:rPr>
      <w:rFonts w:ascii="Calibri" w:hAnsi="Calibri"/>
      <w:kern w:val="2"/>
      <w:sz w:val="21"/>
    </w:rPr>
  </w:style>
  <w:style w:type="paragraph" w:styleId="2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1">
    <w:name w:val="Normal (Web)"/>
    <w:basedOn w:val="1"/>
    <w:qFormat/>
    <w:uiPriority w:val="99"/>
    <w:pPr>
      <w:spacing w:beforeAutospacing="1" w:afterAutospacing="1"/>
    </w:pPr>
    <w:rPr>
      <w:rFonts w:cs="Times New Roman"/>
    </w:rPr>
  </w:style>
  <w:style w:type="character" w:styleId="23">
    <w:name w:val="Strong"/>
    <w:basedOn w:val="22"/>
    <w:qFormat/>
    <w:uiPriority w:val="0"/>
    <w:rPr>
      <w:b/>
    </w:rPr>
  </w:style>
  <w:style w:type="character" w:styleId="24">
    <w:name w:val="Emphasis"/>
    <w:basedOn w:val="22"/>
    <w:qFormat/>
    <w:uiPriority w:val="0"/>
    <w:rPr>
      <w:i/>
    </w:rPr>
  </w:style>
  <w:style w:type="character" w:styleId="25">
    <w:name w:val="Hyperlink"/>
    <w:basedOn w:val="22"/>
    <w:qFormat/>
    <w:uiPriority w:val="0"/>
    <w:rPr>
      <w:color w:val="0000FF"/>
      <w:u w:val="single"/>
    </w:rPr>
  </w:style>
  <w:style w:type="character" w:styleId="26">
    <w:name w:val="annotation reference"/>
    <w:basedOn w:val="22"/>
    <w:qFormat/>
    <w:uiPriority w:val="0"/>
    <w:rPr>
      <w:sz w:val="21"/>
      <w:szCs w:val="21"/>
    </w:rPr>
  </w:style>
  <w:style w:type="character" w:styleId="27">
    <w:name w:val="footnote reference"/>
    <w:basedOn w:val="22"/>
    <w:qFormat/>
    <w:uiPriority w:val="0"/>
    <w:rPr>
      <w:vertAlign w:val="superscript"/>
    </w:rPr>
  </w:style>
  <w:style w:type="table" w:styleId="29">
    <w:name w:val="Table Grid"/>
    <w:basedOn w:val="28"/>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cBorders>
        <w:top w:val="single" w:color="auto" w:sz="4" w:space="0"/>
        <w:left w:val="single" w:color="auto" w:sz="4" w:space="0"/>
        <w:bottom w:val="single" w:color="auto" w:sz="4" w:space="0"/>
        <w:right w:val="single" w:color="auto" w:sz="4" w:space="0"/>
      </w:tcBorders>
    </w:tcPr>
  </w:style>
  <w:style w:type="paragraph" w:customStyle="1" w:styleId="30">
    <w:name w:val="正文1"/>
    <w:qFormat/>
    <w:uiPriority w:val="0"/>
    <w:pPr>
      <w:widowControl w:val="0"/>
      <w:adjustRightInd w:val="0"/>
      <w:spacing w:line="312" w:lineRule="atLeast"/>
      <w:jc w:val="both"/>
      <w:textAlignment w:val="baseline"/>
    </w:pPr>
    <w:rPr>
      <w:rFonts w:ascii="宋体" w:hAnsi="Times New Roman" w:eastAsia="宋体" w:cs="Times New Roman"/>
      <w:sz w:val="34"/>
      <w:szCs w:val="22"/>
      <w:lang w:val="en-US" w:eastAsia="zh-CN" w:bidi="ar-SA"/>
    </w:rPr>
  </w:style>
  <w:style w:type="paragraph" w:customStyle="1" w:styleId="31">
    <w:name w:val="p0"/>
    <w:basedOn w:val="1"/>
    <w:qFormat/>
    <w:uiPriority w:val="0"/>
    <w:pPr>
      <w:widowControl w:val="0"/>
      <w:wordWrap w:val="0"/>
      <w:jc w:val="both"/>
    </w:pPr>
    <w:rPr>
      <w:rFonts w:ascii="Calibri" w:hAnsi="Calibri" w:eastAsia="仿宋"/>
      <w:kern w:val="2"/>
      <w:sz w:val="21"/>
    </w:rPr>
  </w:style>
  <w:style w:type="character" w:customStyle="1" w:styleId="32">
    <w:name w:val="fontstyle01"/>
    <w:qFormat/>
    <w:uiPriority w:val="0"/>
    <w:rPr>
      <w:rFonts w:hint="eastAsia" w:ascii="仿宋" w:eastAsia="仿宋"/>
      <w:color w:val="000000"/>
      <w:sz w:val="32"/>
      <w:szCs w:val="32"/>
    </w:rPr>
  </w:style>
  <w:style w:type="paragraph" w:customStyle="1" w:styleId="33">
    <w:name w:val="WPSOffice手动目录 1"/>
    <w:qFormat/>
    <w:uiPriority w:val="0"/>
    <w:rPr>
      <w:rFonts w:ascii="Times New Roman" w:hAnsi="Times New Roman" w:eastAsia="宋体" w:cs="Times New Roman"/>
      <w:lang w:val="en-US" w:eastAsia="zh-CN" w:bidi="ar-SA"/>
    </w:rPr>
  </w:style>
  <w:style w:type="paragraph" w:customStyle="1" w:styleId="34">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5">
    <w:name w:val="批注文字 字符"/>
    <w:basedOn w:val="22"/>
    <w:link w:val="8"/>
    <w:qFormat/>
    <w:uiPriority w:val="99"/>
    <w:rPr>
      <w:rFonts w:ascii="Calibri" w:hAnsi="Calibri" w:cs="宋体"/>
      <w:kern w:val="2"/>
      <w:sz w:val="21"/>
      <w:szCs w:val="24"/>
    </w:rPr>
  </w:style>
  <w:style w:type="character" w:customStyle="1" w:styleId="36">
    <w:name w:val="批注主题 字符"/>
    <w:basedOn w:val="35"/>
    <w:link w:val="7"/>
    <w:qFormat/>
    <w:uiPriority w:val="0"/>
    <w:rPr>
      <w:rFonts w:ascii="Calibri" w:hAnsi="Calibri" w:cs="宋体"/>
      <w:b/>
      <w:bCs/>
      <w:kern w:val="2"/>
      <w:sz w:val="21"/>
      <w:szCs w:val="24"/>
    </w:rPr>
  </w:style>
  <w:style w:type="character" w:customStyle="1" w:styleId="37">
    <w:name w:val="批注框文本 字符"/>
    <w:basedOn w:val="22"/>
    <w:link w:val="13"/>
    <w:qFormat/>
    <w:uiPriority w:val="0"/>
    <w:rPr>
      <w:rFonts w:ascii="宋体" w:hAnsi="Calibri" w:cs="宋体"/>
      <w:kern w:val="2"/>
      <w:sz w:val="18"/>
      <w:szCs w:val="18"/>
    </w:rPr>
  </w:style>
  <w:style w:type="paragraph" w:customStyle="1" w:styleId="38">
    <w:name w:val="修订1"/>
    <w:hidden/>
    <w:semiHidden/>
    <w:qFormat/>
    <w:uiPriority w:val="99"/>
    <w:rPr>
      <w:rFonts w:ascii="Calibri" w:hAnsi="Calibri" w:eastAsia="宋体" w:cs="宋体"/>
      <w:kern w:val="2"/>
      <w:sz w:val="21"/>
      <w:szCs w:val="24"/>
      <w:lang w:val="en-US" w:eastAsia="zh-CN" w:bidi="ar-SA"/>
    </w:rPr>
  </w:style>
  <w:style w:type="character" w:customStyle="1" w:styleId="39">
    <w:name w:val="font21"/>
    <w:basedOn w:val="22"/>
    <w:qFormat/>
    <w:uiPriority w:val="0"/>
    <w:rPr>
      <w:rFonts w:hint="eastAsia" w:ascii="宋体" w:hAnsi="宋体" w:eastAsia="宋体" w:cs="宋体"/>
      <w:b/>
      <w:bCs/>
      <w:color w:val="000000"/>
      <w:sz w:val="20"/>
      <w:szCs w:val="20"/>
      <w:u w:val="none"/>
    </w:rPr>
  </w:style>
  <w:style w:type="character" w:customStyle="1" w:styleId="40">
    <w:name w:val="font11"/>
    <w:basedOn w:val="22"/>
    <w:qFormat/>
    <w:uiPriority w:val="0"/>
    <w:rPr>
      <w:rFonts w:hint="eastAsia" w:ascii="宋体" w:hAnsi="宋体" w:eastAsia="宋体" w:cs="宋体"/>
      <w:color w:val="000000"/>
      <w:sz w:val="20"/>
      <w:szCs w:val="20"/>
      <w:u w:val="none"/>
    </w:rPr>
  </w:style>
  <w:style w:type="character" w:customStyle="1" w:styleId="41">
    <w:name w:val="font51"/>
    <w:basedOn w:val="22"/>
    <w:qFormat/>
    <w:uiPriority w:val="0"/>
    <w:rPr>
      <w:rFonts w:hint="eastAsia" w:ascii="宋体" w:hAnsi="宋体" w:eastAsia="宋体" w:cs="宋体"/>
      <w:color w:val="000000"/>
      <w:sz w:val="22"/>
      <w:szCs w:val="22"/>
      <w:u w:val="none"/>
    </w:rPr>
  </w:style>
  <w:style w:type="character" w:customStyle="1" w:styleId="42">
    <w:name w:val="font31"/>
    <w:basedOn w:val="22"/>
    <w:qFormat/>
    <w:uiPriority w:val="0"/>
    <w:rPr>
      <w:rFonts w:hint="eastAsia" w:ascii="宋体" w:hAnsi="宋体" w:eastAsia="宋体" w:cs="宋体"/>
      <w:color w:val="000000"/>
      <w:sz w:val="22"/>
      <w:szCs w:val="22"/>
      <w:u w:val="none"/>
    </w:rPr>
  </w:style>
  <w:style w:type="character" w:customStyle="1" w:styleId="43">
    <w:name w:val="正文文本首行缩进 2 字符"/>
    <w:basedOn w:val="44"/>
    <w:qFormat/>
    <w:uiPriority w:val="99"/>
    <w:rPr>
      <w:rFonts w:hint="default" w:ascii="Calibri" w:hAnsi="Calibri" w:cs="宋体"/>
      <w:kern w:val="2"/>
      <w:sz w:val="21"/>
      <w:szCs w:val="24"/>
    </w:rPr>
  </w:style>
  <w:style w:type="character" w:customStyle="1" w:styleId="44">
    <w:name w:val="正文文本缩进 字符"/>
    <w:basedOn w:val="22"/>
    <w:link w:val="11"/>
    <w:qFormat/>
    <w:uiPriority w:val="99"/>
    <w:rPr>
      <w:rFonts w:hint="default" w:ascii="Calibri" w:hAnsi="Calibri" w:cs="宋体"/>
      <w:kern w:val="2"/>
      <w:sz w:val="21"/>
      <w:szCs w:val="24"/>
    </w:rPr>
  </w:style>
  <w:style w:type="paragraph" w:customStyle="1" w:styleId="45">
    <w:name w:val="修订2"/>
    <w:hidden/>
    <w:semiHidden/>
    <w:qFormat/>
    <w:uiPriority w:val="99"/>
    <w:rPr>
      <w:rFonts w:ascii="宋体" w:hAnsi="宋体" w:eastAsia="宋体" w:cs="宋体"/>
      <w:sz w:val="24"/>
      <w:szCs w:val="24"/>
      <w:lang w:val="en-US" w:eastAsia="zh-CN" w:bidi="ar-SA"/>
    </w:rPr>
  </w:style>
  <w:style w:type="paragraph" w:customStyle="1" w:styleId="46">
    <w:name w:val="正文（报告）"/>
    <w:basedOn w:val="11"/>
    <w:qFormat/>
    <w:uiPriority w:val="0"/>
    <w:pPr>
      <w:widowControl/>
      <w:wordWrap w:val="0"/>
      <w:overflowPunct w:val="0"/>
      <w:autoSpaceDE w:val="0"/>
      <w:autoSpaceDN w:val="0"/>
      <w:adjustRightInd w:val="0"/>
      <w:spacing w:after="0" w:line="560" w:lineRule="exact"/>
      <w:ind w:left="0" w:leftChars="0" w:firstLine="420" w:firstLineChars="200"/>
      <w:textAlignment w:val="baseline"/>
    </w:pPr>
    <w:rPr>
      <w:rFonts w:cs="Times New Roman"/>
      <w:kern w:val="0"/>
      <w:szCs w:val="21"/>
    </w:rPr>
  </w:style>
  <w:style w:type="paragraph" w:customStyle="1" w:styleId="47">
    <w:name w:val="msonormal"/>
    <w:basedOn w:val="1"/>
    <w:qFormat/>
    <w:uiPriority w:val="0"/>
    <w:pPr>
      <w:spacing w:before="100" w:beforeAutospacing="1" w:after="100" w:afterAutospacing="1"/>
    </w:pPr>
  </w:style>
  <w:style w:type="character" w:customStyle="1" w:styleId="48">
    <w:name w:val="脚注文本 字符"/>
    <w:basedOn w:val="22"/>
    <w:link w:val="18"/>
    <w:qFormat/>
    <w:uiPriority w:val="99"/>
    <w:rPr>
      <w:rFonts w:ascii="Calibri" w:hAnsi="Calibri" w:cs="宋体"/>
      <w:kern w:val="2"/>
      <w:sz w:val="18"/>
      <w:szCs w:val="24"/>
    </w:rPr>
  </w:style>
  <w:style w:type="character" w:customStyle="1" w:styleId="49">
    <w:name w:val="10"/>
    <w:basedOn w:val="22"/>
    <w:qFormat/>
    <w:uiPriority w:val="0"/>
    <w:rPr>
      <w:rFonts w:hint="default" w:ascii="Times New Roman" w:hAnsi="Times New Roman" w:cs="Times New Roman"/>
    </w:rPr>
  </w:style>
  <w:style w:type="character" w:customStyle="1" w:styleId="50">
    <w:name w:val="15"/>
    <w:basedOn w:val="22"/>
    <w:qFormat/>
    <w:uiPriority w:val="0"/>
    <w:rPr>
      <w:rFonts w:hint="default" w:ascii="Times New Roman" w:hAnsi="Times New Roman" w:cs="Times New Roman"/>
      <w:color w:val="0000FF"/>
      <w:u w:val="single"/>
    </w:rPr>
  </w:style>
  <w:style w:type="character" w:customStyle="1" w:styleId="51">
    <w:name w:val="16"/>
    <w:basedOn w:val="22"/>
    <w:qFormat/>
    <w:uiPriority w:val="0"/>
    <w:rPr>
      <w:rFonts w:hint="default" w:ascii="Times New Roman" w:hAnsi="Times New Roman" w:cs="Times New Roman"/>
      <w:vertAlign w:val="superscript"/>
    </w:rPr>
  </w:style>
  <w:style w:type="paragraph" w:customStyle="1" w:styleId="52">
    <w:name w:val="修订3"/>
    <w:hidden/>
    <w:semiHidden/>
    <w:qFormat/>
    <w:uiPriority w:val="99"/>
    <w:rPr>
      <w:rFonts w:ascii="宋体" w:hAnsi="宋体" w:eastAsia="宋体" w:cs="宋体"/>
      <w:sz w:val="24"/>
      <w:szCs w:val="24"/>
      <w:lang w:val="en-US" w:eastAsia="zh-CN" w:bidi="ar-SA"/>
    </w:rPr>
  </w:style>
  <w:style w:type="paragraph" w:customStyle="1" w:styleId="53">
    <w:name w:val="修订4"/>
    <w:hidden/>
    <w:semiHidden/>
    <w:qFormat/>
    <w:uiPriority w:val="99"/>
    <w:rPr>
      <w:rFonts w:ascii="宋体" w:hAnsi="宋体" w:eastAsia="宋体" w:cs="宋体"/>
      <w:sz w:val="24"/>
      <w:szCs w:val="24"/>
      <w:lang w:val="en-US" w:eastAsia="zh-CN" w:bidi="ar-SA"/>
    </w:rPr>
  </w:style>
  <w:style w:type="character" w:customStyle="1" w:styleId="54">
    <w:name w:val="font91"/>
    <w:basedOn w:val="22"/>
    <w:qFormat/>
    <w:uiPriority w:val="0"/>
    <w:rPr>
      <w:rFonts w:hint="eastAsia" w:ascii="宋体" w:hAnsi="宋体" w:eastAsia="宋体" w:cs="宋体"/>
      <w:color w:val="FF0000"/>
      <w:sz w:val="20"/>
      <w:szCs w:val="20"/>
      <w:u w:val="none"/>
    </w:rPr>
  </w:style>
  <w:style w:type="paragraph" w:customStyle="1" w:styleId="55">
    <w:name w:val="修订5"/>
    <w:hidden/>
    <w:semiHidden/>
    <w:qFormat/>
    <w:uiPriority w:val="99"/>
    <w:rPr>
      <w:rFonts w:ascii="宋体" w:hAnsi="宋体" w:eastAsia="宋体" w:cs="宋体"/>
      <w:sz w:val="24"/>
      <w:szCs w:val="24"/>
      <w:lang w:val="en-US" w:eastAsia="zh-CN" w:bidi="ar-SA"/>
    </w:rPr>
  </w:style>
  <w:style w:type="character" w:customStyle="1" w:styleId="56">
    <w:name w:val="页脚 字符"/>
    <w:basedOn w:val="22"/>
    <w:link w:val="14"/>
    <w:qFormat/>
    <w:uiPriority w:val="0"/>
    <w:rPr>
      <w:rFonts w:hint="eastAsia" w:ascii="仿宋" w:hAnsi="Calibri" w:eastAsia="仿宋" w:cs="宋体"/>
      <w:kern w:val="2"/>
      <w:sz w:val="18"/>
      <w:szCs w:val="24"/>
    </w:rPr>
  </w:style>
  <w:style w:type="character" w:customStyle="1" w:styleId="57">
    <w:name w:val="font41"/>
    <w:basedOn w:val="22"/>
    <w:qFormat/>
    <w:uiPriority w:val="0"/>
    <w:rPr>
      <w:rFonts w:hint="default" w:ascii="Times New Roman" w:hAnsi="Times New Roman" w:cs="Times New Roman"/>
      <w:color w:val="000000"/>
      <w:sz w:val="21"/>
      <w:szCs w:val="21"/>
      <w:u w:val="none"/>
    </w:rPr>
  </w:style>
  <w:style w:type="paragraph" w:customStyle="1" w:styleId="58">
    <w:name w:val="修订6"/>
    <w:hidden/>
    <w:semiHidden/>
    <w:qFormat/>
    <w:uiPriority w:val="99"/>
    <w:rPr>
      <w:rFonts w:ascii="宋体" w:hAnsi="宋体" w:eastAsia="宋体" w:cs="宋体"/>
      <w:sz w:val="24"/>
      <w:szCs w:val="24"/>
      <w:lang w:val="en-US" w:eastAsia="zh-CN" w:bidi="ar-SA"/>
    </w:rPr>
  </w:style>
  <w:style w:type="paragraph" w:customStyle="1" w:styleId="59">
    <w:name w:val="正文首行缩进 21"/>
    <w:basedOn w:val="11"/>
    <w:qFormat/>
    <w:uiPriority w:val="0"/>
    <w:pPr>
      <w:widowControl/>
      <w:wordWrap w:val="0"/>
      <w:overflowPunct w:val="0"/>
      <w:autoSpaceDE w:val="0"/>
      <w:autoSpaceDN w:val="0"/>
      <w:adjustRightInd w:val="0"/>
      <w:spacing w:before="100" w:beforeAutospacing="1"/>
      <w:ind w:firstLine="420" w:firstLineChars="200"/>
      <w:textAlignment w:val="baseline"/>
    </w:pPr>
    <w:rPr>
      <w:rFonts w:cs="Times New Roman"/>
      <w:kern w:val="0"/>
      <w:szCs w:val="21"/>
    </w:rPr>
  </w:style>
  <w:style w:type="paragraph" w:customStyle="1" w:styleId="60">
    <w:name w:val="Revision"/>
    <w:hidden/>
    <w:semiHidden/>
    <w:qFormat/>
    <w:uiPriority w:val="99"/>
    <w:rPr>
      <w:rFonts w:ascii="宋体" w:hAnsi="宋体" w:eastAsia="宋体" w:cs="宋体"/>
      <w:sz w:val="24"/>
      <w:szCs w:val="24"/>
      <w:lang w:val="en-US" w:eastAsia="zh-CN" w:bidi="ar-SA"/>
    </w:rPr>
  </w:style>
  <w:style w:type="paragraph" w:customStyle="1" w:styleId="61">
    <w:name w:val="闻政页码"/>
    <w:qFormat/>
    <w:uiPriority w:val="6"/>
    <w:pPr>
      <w:jc w:val="center"/>
    </w:pPr>
    <w:rPr>
      <w:rFonts w:eastAsia="Times New Roman" w:asciiTheme="minorHAnsi" w:hAnsiTheme="minorHAnsi" w:cstheme="minorBidi"/>
      <w:kern w:val="2"/>
      <w:sz w:val="21"/>
      <w:szCs w:val="28"/>
      <w:lang w:val="en-US" w:eastAsia="zh-CN" w:bidi="ar-SA"/>
    </w:rPr>
  </w:style>
  <w:style w:type="paragraph" w:customStyle="1" w:styleId="62">
    <w:name w:val="列出段落1"/>
    <w:qFormat/>
    <w:uiPriority w:val="34"/>
    <w:pPr>
      <w:widowControl w:val="0"/>
      <w:ind w:firstLine="420" w:firstLineChars="200"/>
      <w:jc w:val="both"/>
    </w:pPr>
    <w:rPr>
      <w:rFonts w:eastAsia="仿宋_GB2312" w:asciiTheme="minorHAnsi" w:hAnsiTheme="minorHAnsi" w:cstheme="minorBidi"/>
      <w:kern w:val="2"/>
      <w:sz w:val="30"/>
      <w:szCs w:val="24"/>
      <w:lang w:val="en-US" w:eastAsia="zh-CN" w:bidi="ar-SA"/>
    </w:rPr>
  </w:style>
  <w:style w:type="paragraph" w:customStyle="1" w:styleId="63">
    <w:name w:val="闻政正文"/>
    <w:basedOn w:val="1"/>
    <w:qFormat/>
    <w:uiPriority w:val="0"/>
    <w:pPr>
      <w:spacing w:line="500" w:lineRule="exact"/>
      <w:ind w:firstLine="200" w:firstLineChars="200"/>
    </w:pPr>
    <w:rPr>
      <w:rFonts w:ascii="Times New Roman" w:hAnsi="Times New Roman" w:eastAsia="仿宋_GB2312" w:cs="Times New Roman"/>
      <w:kern w:val="0"/>
      <w:sz w:val="28"/>
      <w:szCs w:val="28"/>
      <w:lang w:val="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34</Pages>
  <Words>7384</Words>
  <Characters>10030</Characters>
  <Lines>1</Lines>
  <Paragraphs>1</Paragraphs>
  <ScaleCrop>false</ScaleCrop>
  <LinksUpToDate>false</LinksUpToDate>
  <CharactersWithSpaces>10579</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2021-08-19T03:00:00Z</dcterms:created>
  <dc:creator>随遇而安</dc:creator>
  <cp:lastModifiedBy>Administrator</cp:lastModifiedBy>
  <cp:lastPrinted>2025-08-14T06:47:00Z</cp:lastPrinted>
  <dcterms:modified xsi:type="dcterms:W3CDTF">2025-09-19T09:07:39Z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y fmtid="{D5CDD505-2E9C-101B-9397-08002B2CF9AE}" pid="3" name="ICV">
    <vt:lpwstr>95F09E697F8E6A9C49B59A689ACC12B4_43</vt:lpwstr>
  </property>
  <property fmtid="{D5CDD505-2E9C-101B-9397-08002B2CF9AE}" pid="4" name="KSOTemplateDocerSaveRecord">
    <vt:lpwstr>eyJoZGlkIjoiN2YzNjBkOTgyNWQ1YTMxYzM3MzMwNWFiODNmOWIzYWMiLCJ1c2VySWQiOiI2NjQ2Nzk4MDcifQ==</vt:lpwstr>
  </property>
</Properties>
</file>